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C305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1C2B75">
            <w:pPr>
              <w:pStyle w:val="20"/>
              <w:framePr w:wrap="notBeside" w:vAnchor="page" w:hAnchor="page" w:x="1372" w:y="568"/>
              <w:tabs>
                <w:tab w:val="clear" w:pos="4153"/>
                <w:tab w:val="clear" w:pos="8306"/>
              </w:tabs>
              <w:spacing w:line="240" w:lineRule="auto"/>
              <w:jc w:val="left"/>
              <w:rPr>
                <w:rFonts w:ascii="黑体" w:hAnsi="黑体" w:eastAsia="黑体"/>
                <w:sz w:val="21"/>
                <w:szCs w:val="21"/>
              </w:rPr>
            </w:pPr>
            <w:bookmarkStart w:id="452" w:name="_GoBack"/>
            <w:bookmarkEnd w:id="452"/>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1F9F94D">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13.100</w:t>
            </w:r>
            <w:r>
              <w:rPr>
                <w:rFonts w:ascii="黑体" w:hAnsi="黑体" w:eastAsia="黑体"/>
                <w:sz w:val="21"/>
                <w:szCs w:val="21"/>
              </w:rPr>
              <w:fldChar w:fldCharType="end"/>
            </w:r>
            <w:bookmarkEnd w:id="0"/>
          </w:p>
        </w:tc>
      </w:tr>
      <w:tr w14:paraId="455EE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2FBDBD">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BCE7E6">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C </w:t>
            </w:r>
            <w:r>
              <w:rPr>
                <w:rFonts w:hint="eastAsia" w:ascii="黑体" w:hAnsi="黑体" w:eastAsia="黑体"/>
                <w:sz w:val="21"/>
                <w:szCs w:val="21"/>
              </w:rPr>
              <w:t>52</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D01686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1445C45">
            <w:pPr>
              <w:pStyle w:val="5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B7B183C">
      <w:pPr>
        <w:pStyle w:val="5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9695BE6">
      <w:pPr>
        <w:pStyle w:val="19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12A81B0">
      <w:pPr>
        <w:pStyle w:val="20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D7132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765CCA">
      <w:pPr>
        <w:pStyle w:val="54"/>
        <w:framePr w:w="9639" w:h="6976" w:hRule="exact" w:hSpace="0" w:vSpace="0" w:wrap="around" w:hAnchor="page" w:y="6408"/>
        <w:jc w:val="center"/>
        <w:rPr>
          <w:rFonts w:ascii="黑体" w:hAnsi="黑体" w:eastAsia="黑体"/>
          <w:b w:val="0"/>
          <w:bCs w:val="0"/>
          <w:w w:val="100"/>
        </w:rPr>
      </w:pPr>
    </w:p>
    <w:p w14:paraId="252EB580">
      <w:pPr>
        <w:pStyle w:val="20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小微企业职业健康帮扶指南</w:t>
      </w:r>
      <w:r>
        <w:fldChar w:fldCharType="end"/>
      </w:r>
      <w:bookmarkEnd w:id="9"/>
    </w:p>
    <w:p w14:paraId="63B1A029">
      <w:pPr>
        <w:framePr w:w="9639" w:h="6974" w:hRule="exact" w:wrap="around" w:vAnchor="page" w:hAnchor="page" w:x="1419" w:y="6408" w:anchorLock="1"/>
        <w:ind w:left="-1418"/>
      </w:pPr>
    </w:p>
    <w:p w14:paraId="3ED226EC">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Guidelines</w:t>
      </w:r>
      <w:r>
        <w:rPr>
          <w:rFonts w:ascii="黑体" w:hAnsi="黑体" w:eastAsia="黑体"/>
          <w:szCs w:val="28"/>
        </w:rPr>
        <w:t xml:space="preserve"> for occupational health  to micro and small-sized enterprises</w:t>
      </w:r>
      <w:r>
        <w:rPr>
          <w:rFonts w:ascii="黑体" w:hAnsi="黑体" w:eastAsia="黑体"/>
          <w:szCs w:val="28"/>
        </w:rPr>
        <w:fldChar w:fldCharType="end"/>
      </w:r>
      <w:bookmarkEnd w:id="10"/>
    </w:p>
    <w:p w14:paraId="453AD2A0">
      <w:pPr>
        <w:framePr w:w="9639" w:h="6974" w:hRule="exact" w:wrap="around" w:vAnchor="page" w:hAnchor="page" w:x="1419" w:y="6408" w:anchorLock="1"/>
        <w:spacing w:line="760" w:lineRule="exact"/>
        <w:ind w:left="-1418"/>
      </w:pPr>
    </w:p>
    <w:p w14:paraId="019E167A">
      <w:pPr>
        <w:pStyle w:val="129"/>
        <w:framePr w:w="9639" w:h="6974" w:hRule="exact" w:wrap="around" w:vAnchor="page" w:hAnchor="page" w:x="1419" w:y="6408" w:anchorLock="1"/>
        <w:textAlignment w:val="bottom"/>
        <w:rPr>
          <w:rFonts w:eastAsia="黑体"/>
          <w:szCs w:val="28"/>
        </w:rPr>
      </w:pPr>
    </w:p>
    <w:p w14:paraId="4F950F88">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2CEEF0A">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A081C0D">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D591195">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C65FAAB">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E526B2A">
      <w:pPr>
        <w:pStyle w:val="15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7A26EA0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4E78F1E">
      <w:pPr>
        <w:pStyle w:val="95"/>
        <w:spacing w:after="468"/>
      </w:pPr>
      <w:bookmarkStart w:id="21" w:name="BookMark1"/>
      <w:bookmarkStart w:id="22" w:name="_Toc163652479"/>
      <w:bookmarkStart w:id="23" w:name="_Toc163652104"/>
      <w:bookmarkStart w:id="24" w:name="_Toc163651993"/>
      <w:bookmarkStart w:id="25" w:name="_Toc163652175"/>
      <w:bookmarkStart w:id="26" w:name="_Toc163652419"/>
      <w:bookmarkStart w:id="27" w:name="_Toc163652539"/>
      <w:r>
        <w:rPr>
          <w:rFonts w:hint="eastAsia"/>
          <w:spacing w:val="320"/>
        </w:rPr>
        <w:t>目</w:t>
      </w:r>
      <w:r>
        <w:rPr>
          <w:rFonts w:hint="eastAsia"/>
        </w:rPr>
        <w:t>次</w:t>
      </w:r>
    </w:p>
    <w:p w14:paraId="26E04A10">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"_Toc163652598" </w:instrText>
      </w:r>
      <w:r>
        <w:fldChar w:fldCharType="separate"/>
      </w:r>
      <w:r>
        <w:rPr>
          <w:rStyle w:val="35"/>
        </w:rPr>
        <w:t>前言</w:t>
      </w:r>
      <w:r>
        <w:tab/>
      </w:r>
      <w:r>
        <w:fldChar w:fldCharType="begin"/>
      </w:r>
      <w:r>
        <w:instrText xml:space="preserve"> PAGEREF _Toc163652598 \h </w:instrText>
      </w:r>
      <w:r>
        <w:fldChar w:fldCharType="separate"/>
      </w:r>
      <w:r>
        <w:t>II</w:t>
      </w:r>
      <w:r>
        <w:fldChar w:fldCharType="end"/>
      </w:r>
      <w:r>
        <w:fldChar w:fldCharType="end"/>
      </w:r>
    </w:p>
    <w:p w14:paraId="71F1D7C9">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"_Toc163652599" </w:instrText>
      </w:r>
      <w:r>
        <w:fldChar w:fldCharType="separate"/>
      </w:r>
      <w:r>
        <w:rPr>
          <w:rStyle w:val="35"/>
        </w:rPr>
        <w:t>1  范围</w:t>
      </w:r>
      <w:r>
        <w:tab/>
      </w:r>
      <w:r>
        <w:fldChar w:fldCharType="begin"/>
      </w:r>
      <w:r>
        <w:instrText xml:space="preserve"> PAGEREF _Toc163652599 \h </w:instrText>
      </w:r>
      <w:r>
        <w:fldChar w:fldCharType="separate"/>
      </w:r>
      <w:r>
        <w:t>1</w:t>
      </w:r>
      <w:r>
        <w:fldChar w:fldCharType="end"/>
      </w:r>
      <w:r>
        <w:fldChar w:fldCharType="end"/>
      </w:r>
    </w:p>
    <w:p w14:paraId="1004F697">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"_Toc163652600" </w:instrText>
      </w:r>
      <w:r>
        <w:fldChar w:fldCharType="separate"/>
      </w:r>
      <w:r>
        <w:rPr>
          <w:rStyle w:val="35"/>
        </w:rPr>
        <w:t>2  规范性引用文件</w:t>
      </w:r>
      <w:r>
        <w:tab/>
      </w:r>
      <w:r>
        <w:fldChar w:fldCharType="begin"/>
      </w:r>
      <w:r>
        <w:instrText xml:space="preserve"> PAGEREF _Toc163652600 \h </w:instrText>
      </w:r>
      <w:r>
        <w:fldChar w:fldCharType="separate"/>
      </w:r>
      <w:r>
        <w:t>1</w:t>
      </w:r>
      <w:r>
        <w:fldChar w:fldCharType="end"/>
      </w:r>
      <w:r>
        <w:fldChar w:fldCharType="end"/>
      </w:r>
    </w:p>
    <w:p w14:paraId="3016E713">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"_Toc163652601" </w:instrText>
      </w:r>
      <w:r>
        <w:fldChar w:fldCharType="separate"/>
      </w:r>
      <w:r>
        <w:rPr>
          <w:rStyle w:val="35"/>
        </w:rPr>
        <w:t>3  术语和定义</w:t>
      </w:r>
      <w:r>
        <w:tab/>
      </w:r>
      <w:r>
        <w:fldChar w:fldCharType="begin"/>
      </w:r>
      <w:r>
        <w:instrText xml:space="preserve"> PAGEREF _Toc163652601 \h </w:instrText>
      </w:r>
      <w:r>
        <w:fldChar w:fldCharType="separate"/>
      </w:r>
      <w:r>
        <w:t>1</w:t>
      </w:r>
      <w:r>
        <w:fldChar w:fldCharType="end"/>
      </w:r>
      <w:r>
        <w:fldChar w:fldCharType="end"/>
      </w:r>
    </w:p>
    <w:p w14:paraId="3C5A01E7">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"_Toc163652606" </w:instrText>
      </w:r>
      <w:r>
        <w:fldChar w:fldCharType="separate"/>
      </w:r>
      <w:r>
        <w:rPr>
          <w:rStyle w:val="35"/>
        </w:rPr>
        <w:t>4  基本原则</w:t>
      </w:r>
      <w:r>
        <w:tab/>
      </w:r>
      <w:r>
        <w:fldChar w:fldCharType="begin"/>
      </w:r>
      <w:r>
        <w:instrText xml:space="preserve"> PAGEREF _Toc163652606 \h </w:instrText>
      </w:r>
      <w:r>
        <w:fldChar w:fldCharType="separate"/>
      </w:r>
      <w:r>
        <w:t>2</w:t>
      </w:r>
      <w:r>
        <w:fldChar w:fldCharType="end"/>
      </w:r>
      <w:r>
        <w:fldChar w:fldCharType="end"/>
      </w:r>
    </w:p>
    <w:p w14:paraId="65C24118">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"_Toc163652609" </w:instrText>
      </w:r>
      <w:r>
        <w:fldChar w:fldCharType="separate"/>
      </w:r>
      <w:r>
        <w:rPr>
          <w:rStyle w:val="35"/>
        </w:rPr>
        <w:t xml:space="preserve">5  </w:t>
      </w:r>
      <w:r>
        <w:rPr>
          <w:rStyle w:val="35"/>
          <w:rFonts w:hint="eastAsia"/>
        </w:rPr>
        <w:t>帮扶主体</w:t>
      </w:r>
      <w:r>
        <w:tab/>
      </w:r>
      <w:r>
        <w:rPr>
          <w:rFonts w:hint="eastAsia"/>
          <w:lang w:val="en-US" w:eastAsia="zh-CN"/>
        </w:rPr>
        <w:t>2</w:t>
      </w:r>
      <w:r>
        <w:fldChar w:fldCharType="end"/>
      </w:r>
    </w:p>
    <w:p w14:paraId="660D102C">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"_Toc163652610" </w:instrText>
      </w:r>
      <w:r>
        <w:fldChar w:fldCharType="separate"/>
      </w:r>
      <w:r>
        <w:rPr>
          <w:rStyle w:val="35"/>
        </w:rPr>
        <w:t>6  现况调查</w:t>
      </w:r>
      <w:r>
        <w:tab/>
      </w:r>
      <w:r>
        <w:fldChar w:fldCharType="begin"/>
      </w:r>
      <w:r>
        <w:instrText xml:space="preserve"> PAGEREF _Toc163652610 \h </w:instrText>
      </w:r>
      <w:r>
        <w:fldChar w:fldCharType="separate"/>
      </w:r>
      <w:r>
        <w:t>2</w:t>
      </w:r>
      <w:r>
        <w:fldChar w:fldCharType="end"/>
      </w:r>
      <w:r>
        <w:fldChar w:fldCharType="end"/>
      </w:r>
    </w:p>
    <w:p w14:paraId="581E6893">
      <w:pPr>
        <w:pStyle w:val="26"/>
        <w:rPr>
          <w:rFonts w:asciiTheme="minorHAnsi" w:hAnsiTheme="minorHAnsi" w:eastAsiaTheme="minorEastAsia" w:cstheme="minorBidi"/>
          <w:szCs w:val="22"/>
        </w:rPr>
      </w:pPr>
      <w:r>
        <w:fldChar w:fldCharType="begin"/>
      </w:r>
      <w:r>
        <w:instrText xml:space="preserve"> HYPERLINK \l "_Toc163652611" </w:instrText>
      </w:r>
      <w:r>
        <w:fldChar w:fldCharType="separate"/>
      </w:r>
      <w:r>
        <w:rPr>
          <w:rStyle w:val="35"/>
          <w14:scene3d>
            <w14:lightRig w14:rig="threePt" w14:dir="t">
              <w14:rot w14:lat="0" w14:lon="0" w14:rev="0"/>
            </w14:lightRig>
          </w14:scene3d>
        </w:rPr>
        <w:t xml:space="preserve">6.1 </w:t>
      </w:r>
      <w:r>
        <w:rPr>
          <w:rStyle w:val="35"/>
        </w:rPr>
        <w:t xml:space="preserve"> 调查机构</w:t>
      </w:r>
      <w:r>
        <w:tab/>
      </w:r>
      <w:r>
        <w:fldChar w:fldCharType="begin"/>
      </w:r>
      <w:r>
        <w:instrText xml:space="preserve"> PAGEREF _Toc163652611 \h </w:instrText>
      </w:r>
      <w:r>
        <w:fldChar w:fldCharType="separate"/>
      </w:r>
      <w:r>
        <w:t>2</w:t>
      </w:r>
      <w:r>
        <w:fldChar w:fldCharType="end"/>
      </w:r>
      <w:r>
        <w:fldChar w:fldCharType="end"/>
      </w:r>
    </w:p>
    <w:p w14:paraId="3F425E4A">
      <w:pPr>
        <w:pStyle w:val="26"/>
        <w:rPr>
          <w:rFonts w:asciiTheme="minorHAnsi" w:hAnsiTheme="minorHAnsi" w:eastAsiaTheme="minorEastAsia" w:cstheme="minorBidi"/>
          <w:szCs w:val="22"/>
        </w:rPr>
      </w:pPr>
      <w:r>
        <w:fldChar w:fldCharType="begin"/>
      </w:r>
      <w:r>
        <w:instrText xml:space="preserve"> HYPERLINK \l "_Toc163652612" </w:instrText>
      </w:r>
      <w:r>
        <w:fldChar w:fldCharType="separate"/>
      </w:r>
      <w:r>
        <w:rPr>
          <w:rStyle w:val="35"/>
          <w14:scene3d>
            <w14:lightRig w14:rig="threePt" w14:dir="t">
              <w14:rot w14:lat="0" w14:lon="0" w14:rev="0"/>
            </w14:lightRig>
          </w14:scene3d>
        </w:rPr>
        <w:t xml:space="preserve">6.2 </w:t>
      </w:r>
      <w:r>
        <w:rPr>
          <w:rStyle w:val="35"/>
        </w:rPr>
        <w:t xml:space="preserve"> 调查人员</w:t>
      </w:r>
      <w:r>
        <w:tab/>
      </w:r>
      <w:r>
        <w:fldChar w:fldCharType="begin"/>
      </w:r>
      <w:r>
        <w:instrText xml:space="preserve"> PAGEREF _Toc163652612 \h </w:instrText>
      </w:r>
      <w:r>
        <w:fldChar w:fldCharType="separate"/>
      </w:r>
      <w:r>
        <w:t>2</w:t>
      </w:r>
      <w:r>
        <w:fldChar w:fldCharType="end"/>
      </w:r>
      <w:r>
        <w:fldChar w:fldCharType="end"/>
      </w:r>
    </w:p>
    <w:p w14:paraId="7966D4ED">
      <w:pPr>
        <w:pStyle w:val="26"/>
        <w:rPr>
          <w:rFonts w:asciiTheme="minorHAnsi" w:hAnsiTheme="minorHAnsi" w:eastAsiaTheme="minorEastAsia" w:cstheme="minorBidi"/>
          <w:szCs w:val="22"/>
        </w:rPr>
      </w:pPr>
      <w:r>
        <w:fldChar w:fldCharType="begin"/>
      </w:r>
      <w:r>
        <w:instrText xml:space="preserve"> HYPERLINK \l "_Toc163652613" </w:instrText>
      </w:r>
      <w:r>
        <w:fldChar w:fldCharType="separate"/>
      </w:r>
      <w:r>
        <w:rPr>
          <w:rStyle w:val="35"/>
          <w14:scene3d>
            <w14:lightRig w14:rig="threePt" w14:dir="t">
              <w14:rot w14:lat="0" w14:lon="0" w14:rev="0"/>
            </w14:lightRig>
          </w14:scene3d>
        </w:rPr>
        <w:t xml:space="preserve">6.3 </w:t>
      </w:r>
      <w:r>
        <w:rPr>
          <w:rStyle w:val="35"/>
        </w:rPr>
        <w:t xml:space="preserve"> 调查内容</w:t>
      </w:r>
      <w:r>
        <w:tab/>
      </w:r>
      <w:r>
        <w:fldChar w:fldCharType="begin"/>
      </w:r>
      <w:r>
        <w:instrText xml:space="preserve"> PAGEREF _Toc163652613 \h </w:instrText>
      </w:r>
      <w:r>
        <w:fldChar w:fldCharType="separate"/>
      </w:r>
      <w:r>
        <w:t>3</w:t>
      </w:r>
      <w:r>
        <w:fldChar w:fldCharType="end"/>
      </w:r>
      <w:r>
        <w:fldChar w:fldCharType="end"/>
      </w:r>
    </w:p>
    <w:p w14:paraId="09845258">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"_Toc163652614" </w:instrText>
      </w:r>
      <w:r>
        <w:fldChar w:fldCharType="separate"/>
      </w:r>
      <w:r>
        <w:rPr>
          <w:rStyle w:val="35"/>
        </w:rPr>
        <w:t>7  帮扶措施</w:t>
      </w:r>
      <w:r>
        <w:tab/>
      </w:r>
      <w:r>
        <w:fldChar w:fldCharType="begin"/>
      </w:r>
      <w:r>
        <w:instrText xml:space="preserve"> PAGEREF _Toc163652614 \h </w:instrText>
      </w:r>
      <w:r>
        <w:fldChar w:fldCharType="separate"/>
      </w:r>
      <w:r>
        <w:t>3</w:t>
      </w:r>
      <w:r>
        <w:fldChar w:fldCharType="end"/>
      </w:r>
      <w:r>
        <w:fldChar w:fldCharType="end"/>
      </w:r>
    </w:p>
    <w:p w14:paraId="4F19FE18">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"_Toc163652622" </w:instrText>
      </w:r>
      <w:r>
        <w:fldChar w:fldCharType="separate"/>
      </w:r>
      <w:r>
        <w:rPr>
          <w:rStyle w:val="35"/>
        </w:rPr>
        <w:t>8  帮扶效果评估</w:t>
      </w:r>
      <w:r>
        <w:tab/>
      </w:r>
      <w:r>
        <w:fldChar w:fldCharType="begin"/>
      </w:r>
      <w:r>
        <w:instrText xml:space="preserve"> PAGEREF _Toc163652622 \h </w:instrText>
      </w:r>
      <w:r>
        <w:fldChar w:fldCharType="separate"/>
      </w:r>
      <w:r>
        <w:t>3</w:t>
      </w:r>
      <w:r>
        <w:fldChar w:fldCharType="end"/>
      </w:r>
      <w:r>
        <w:fldChar w:fldCharType="end"/>
      </w:r>
    </w:p>
    <w:p w14:paraId="40A66B40">
      <w:pPr>
        <w:pStyle w:val="26"/>
        <w:rPr>
          <w:rFonts w:asciiTheme="minorHAnsi" w:hAnsiTheme="minorHAnsi" w:eastAsiaTheme="minorEastAsia" w:cstheme="minorBidi"/>
          <w:szCs w:val="22"/>
        </w:rPr>
      </w:pPr>
      <w:r>
        <w:fldChar w:fldCharType="begin"/>
      </w:r>
      <w:r>
        <w:instrText xml:space="preserve"> HYPERLINK \l "_Toc163652623" </w:instrText>
      </w:r>
      <w:r>
        <w:fldChar w:fldCharType="separate"/>
      </w:r>
      <w:r>
        <w:rPr>
          <w:rStyle w:val="35"/>
          <w14:scene3d>
            <w14:lightRig w14:rig="threePt" w14:dir="t">
              <w14:rot w14:lat="0" w14:lon="0" w14:rev="0"/>
            </w14:lightRig>
          </w14:scene3d>
        </w:rPr>
        <w:t xml:space="preserve">8.1 </w:t>
      </w:r>
      <w:r>
        <w:rPr>
          <w:rStyle w:val="35"/>
        </w:rPr>
        <w:t xml:space="preserve"> 评估原则</w:t>
      </w:r>
      <w:r>
        <w:tab/>
      </w:r>
      <w:r>
        <w:fldChar w:fldCharType="begin"/>
      </w:r>
      <w:r>
        <w:instrText xml:space="preserve"> PAGEREF _Toc163652623 \h </w:instrText>
      </w:r>
      <w:r>
        <w:fldChar w:fldCharType="separate"/>
      </w:r>
      <w:r>
        <w:t>3</w:t>
      </w:r>
      <w:r>
        <w:fldChar w:fldCharType="end"/>
      </w:r>
      <w:r>
        <w:fldChar w:fldCharType="end"/>
      </w:r>
    </w:p>
    <w:p w14:paraId="35E985B4">
      <w:pPr>
        <w:pStyle w:val="26"/>
        <w:rPr>
          <w:rFonts w:asciiTheme="minorHAnsi" w:hAnsiTheme="minorHAnsi" w:eastAsiaTheme="minorEastAsia" w:cstheme="minorBidi"/>
          <w:szCs w:val="22"/>
        </w:rPr>
      </w:pPr>
      <w:r>
        <w:fldChar w:fldCharType="begin"/>
      </w:r>
      <w:r>
        <w:instrText xml:space="preserve"> HYPERLINK \l "_Toc163652624" </w:instrText>
      </w:r>
      <w:r>
        <w:fldChar w:fldCharType="separate"/>
      </w:r>
      <w:r>
        <w:rPr>
          <w:rStyle w:val="35"/>
          <w14:scene3d>
            <w14:lightRig w14:rig="threePt" w14:dir="t">
              <w14:rot w14:lat="0" w14:lon="0" w14:rev="0"/>
            </w14:lightRig>
          </w14:scene3d>
        </w:rPr>
        <w:t xml:space="preserve">8.2 </w:t>
      </w:r>
      <w:r>
        <w:rPr>
          <w:rStyle w:val="35"/>
        </w:rPr>
        <w:t xml:space="preserve"> 评估指标</w:t>
      </w:r>
      <w:r>
        <w:tab/>
      </w:r>
      <w:r>
        <w:fldChar w:fldCharType="begin"/>
      </w:r>
      <w:r>
        <w:instrText xml:space="preserve"> PAGEREF _Toc163652624 \h </w:instrText>
      </w:r>
      <w:r>
        <w:fldChar w:fldCharType="separate"/>
      </w:r>
      <w:r>
        <w:t>3</w:t>
      </w:r>
      <w:r>
        <w:fldChar w:fldCharType="end"/>
      </w:r>
      <w:r>
        <w:fldChar w:fldCharType="end"/>
      </w:r>
    </w:p>
    <w:p w14:paraId="4CE5558A">
      <w:pPr>
        <w:pStyle w:val="26"/>
        <w:rPr>
          <w:rFonts w:asciiTheme="minorHAnsi" w:hAnsiTheme="minorHAnsi" w:eastAsiaTheme="minorEastAsia" w:cstheme="minorBidi"/>
          <w:szCs w:val="22"/>
        </w:rPr>
      </w:pPr>
      <w:r>
        <w:fldChar w:fldCharType="begin"/>
      </w:r>
      <w:r>
        <w:instrText xml:space="preserve"> HYPERLINK \l "_Toc163652625" </w:instrText>
      </w:r>
      <w:r>
        <w:fldChar w:fldCharType="separate"/>
      </w:r>
      <w:r>
        <w:rPr>
          <w:rStyle w:val="35"/>
          <w14:scene3d>
            <w14:lightRig w14:rig="threePt" w14:dir="t">
              <w14:rot w14:lat="0" w14:lon="0" w14:rev="0"/>
            </w14:lightRig>
          </w14:scene3d>
        </w:rPr>
        <w:t xml:space="preserve">8.3 </w:t>
      </w:r>
      <w:r>
        <w:rPr>
          <w:rStyle w:val="35"/>
        </w:rPr>
        <w:t xml:space="preserve"> 评分标准</w:t>
      </w:r>
      <w:r>
        <w:tab/>
      </w:r>
      <w:r>
        <w:fldChar w:fldCharType="begin"/>
      </w:r>
      <w:r>
        <w:instrText xml:space="preserve"> PAGEREF _Toc163652625 \h </w:instrText>
      </w:r>
      <w:r>
        <w:fldChar w:fldCharType="separate"/>
      </w:r>
      <w:r>
        <w:t>3</w:t>
      </w:r>
      <w:r>
        <w:fldChar w:fldCharType="end"/>
      </w:r>
      <w:r>
        <w:fldChar w:fldCharType="end"/>
      </w:r>
    </w:p>
    <w:p w14:paraId="5AAA9E9E">
      <w:pPr>
        <w:pStyle w:val="26"/>
        <w:rPr>
          <w:rFonts w:asciiTheme="minorHAnsi" w:hAnsiTheme="minorHAnsi" w:eastAsiaTheme="minorEastAsia" w:cstheme="minorBidi"/>
          <w:szCs w:val="22"/>
        </w:rPr>
      </w:pPr>
      <w:r>
        <w:fldChar w:fldCharType="begin"/>
      </w:r>
      <w:r>
        <w:instrText xml:space="preserve"> HYPERLINK \l "_Toc163652626" </w:instrText>
      </w:r>
      <w:r>
        <w:fldChar w:fldCharType="separate"/>
      </w:r>
      <w:r>
        <w:rPr>
          <w:rStyle w:val="35"/>
          <w14:scene3d>
            <w14:lightRig w14:rig="threePt" w14:dir="t">
              <w14:rot w14:lat="0" w14:lon="0" w14:rev="0"/>
            </w14:lightRig>
          </w14:scene3d>
        </w:rPr>
        <w:t xml:space="preserve">8.4 </w:t>
      </w:r>
      <w:r>
        <w:rPr>
          <w:rStyle w:val="35"/>
        </w:rPr>
        <w:t xml:space="preserve"> 评估流程</w:t>
      </w:r>
      <w:r>
        <w:tab/>
      </w:r>
      <w:r>
        <w:fldChar w:fldCharType="begin"/>
      </w:r>
      <w:r>
        <w:instrText xml:space="preserve"> PAGEREF _Toc163652626 \h </w:instrText>
      </w:r>
      <w:r>
        <w:fldChar w:fldCharType="separate"/>
      </w:r>
      <w:r>
        <w:t>3</w:t>
      </w:r>
      <w:r>
        <w:fldChar w:fldCharType="end"/>
      </w:r>
      <w:r>
        <w:fldChar w:fldCharType="end"/>
      </w:r>
    </w:p>
    <w:p w14:paraId="59C9BE38">
      <w:pPr>
        <w:pStyle w:val="26"/>
        <w:rPr>
          <w:rFonts w:asciiTheme="minorHAnsi" w:hAnsiTheme="minorHAnsi" w:eastAsiaTheme="minorEastAsia" w:cstheme="minorBidi"/>
          <w:szCs w:val="22"/>
        </w:rPr>
      </w:pPr>
      <w:r>
        <w:fldChar w:fldCharType="begin"/>
      </w:r>
      <w:r>
        <w:instrText xml:space="preserve"> HYPERLINK \l "_Toc163652627" </w:instrText>
      </w:r>
      <w:r>
        <w:fldChar w:fldCharType="separate"/>
      </w:r>
      <w:r>
        <w:rPr>
          <w:rStyle w:val="35"/>
          <w14:scene3d>
            <w14:lightRig w14:rig="threePt" w14:dir="t">
              <w14:rot w14:lat="0" w14:lon="0" w14:rev="0"/>
            </w14:lightRig>
          </w14:scene3d>
        </w:rPr>
        <w:t xml:space="preserve">8.5 </w:t>
      </w:r>
      <w:r>
        <w:rPr>
          <w:rStyle w:val="35"/>
        </w:rPr>
        <w:t xml:space="preserve"> 评估结果</w:t>
      </w:r>
      <w:r>
        <w:tab/>
      </w:r>
      <w:r>
        <w:fldChar w:fldCharType="begin"/>
      </w:r>
      <w:r>
        <w:instrText xml:space="preserve"> PAGEREF _Toc163652627 \h </w:instrText>
      </w:r>
      <w:r>
        <w:fldChar w:fldCharType="separate"/>
      </w:r>
      <w:r>
        <w:t>4</w:t>
      </w:r>
      <w:r>
        <w:fldChar w:fldCharType="end"/>
      </w:r>
      <w:r>
        <w:fldChar w:fldCharType="end"/>
      </w:r>
    </w:p>
    <w:p w14:paraId="65698224">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"_Toc163652628" </w:instrText>
      </w:r>
      <w:r>
        <w:fldChar w:fldCharType="separate"/>
      </w:r>
      <w:r>
        <w:rPr>
          <w:rStyle w:val="35"/>
        </w:rPr>
        <w:t>9  帮扶结果运用</w:t>
      </w:r>
      <w:r>
        <w:tab/>
      </w:r>
      <w:r>
        <w:fldChar w:fldCharType="begin"/>
      </w:r>
      <w:r>
        <w:instrText xml:space="preserve"> PAGEREF _Toc163652628 \h </w:instrText>
      </w:r>
      <w:r>
        <w:fldChar w:fldCharType="separate"/>
      </w:r>
      <w:r>
        <w:t>4</w:t>
      </w:r>
      <w:r>
        <w:fldChar w:fldCharType="end"/>
      </w:r>
      <w:r>
        <w:fldChar w:fldCharType="end"/>
      </w:r>
    </w:p>
    <w:p w14:paraId="4F56EF2A">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"_Toc163652634" </w:instrText>
      </w:r>
      <w:r>
        <w:fldChar w:fldCharType="separate"/>
      </w:r>
      <w:r>
        <w:rPr>
          <w:rStyle w:val="35"/>
        </w:rPr>
        <w:t>附录A（资料性）  职业病危害现状调查表</w:t>
      </w:r>
      <w:r>
        <w:tab/>
      </w:r>
      <w:r>
        <w:fldChar w:fldCharType="begin"/>
      </w:r>
      <w:r>
        <w:instrText xml:space="preserve"> PAGEREF _Toc163652634 \h </w:instrText>
      </w:r>
      <w:r>
        <w:fldChar w:fldCharType="separate"/>
      </w:r>
      <w:r>
        <w:t>5</w:t>
      </w:r>
      <w:r>
        <w:fldChar w:fldCharType="end"/>
      </w:r>
      <w:r>
        <w:fldChar w:fldCharType="end"/>
      </w:r>
    </w:p>
    <w:p w14:paraId="03238929">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"_Toc163652635" </w:instrText>
      </w:r>
      <w:r>
        <w:fldChar w:fldCharType="separate"/>
      </w:r>
      <w:r>
        <w:rPr>
          <w:rStyle w:val="35"/>
        </w:rPr>
        <w:t>附录B（</w:t>
      </w:r>
      <w:bookmarkStart w:id="28" w:name="OLE_LINK1"/>
      <w:bookmarkStart w:id="29" w:name="OLE_LINK2"/>
      <w:r>
        <w:rPr>
          <w:rStyle w:val="35"/>
        </w:rPr>
        <w:t>资料性</w:t>
      </w:r>
      <w:bookmarkEnd w:id="28"/>
      <w:bookmarkEnd w:id="29"/>
      <w:r>
        <w:rPr>
          <w:rStyle w:val="35"/>
        </w:rPr>
        <w:t>）  帮扶前（后）小微企业职业健康管理情况登记表</w:t>
      </w:r>
      <w:r>
        <w:tab/>
      </w:r>
      <w:r>
        <w:fldChar w:fldCharType="begin"/>
      </w:r>
      <w:r>
        <w:instrText xml:space="preserve"> PAGEREF _Toc163652635 \h </w:instrText>
      </w:r>
      <w:r>
        <w:fldChar w:fldCharType="separate"/>
      </w:r>
      <w:r>
        <w:t>9</w:t>
      </w:r>
      <w:r>
        <w:fldChar w:fldCharType="end"/>
      </w:r>
      <w:r>
        <w:fldChar w:fldCharType="end"/>
      </w:r>
    </w:p>
    <w:p w14:paraId="19FDFD28">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"_Toc163652636" </w:instrText>
      </w:r>
      <w:r>
        <w:fldChar w:fldCharType="separate"/>
      </w:r>
      <w:r>
        <w:rPr>
          <w:rStyle w:val="35"/>
        </w:rPr>
        <w:t>附录C（</w:t>
      </w:r>
      <w:r>
        <w:rPr>
          <w:rFonts w:hint="eastAsia"/>
        </w:rPr>
        <w:t>资料性</w:t>
      </w:r>
      <w:r>
        <w:rPr>
          <w:rStyle w:val="35"/>
        </w:rPr>
        <w:t>）  小微企业职业健康帮扶效果评估考核表</w:t>
      </w:r>
      <w:r>
        <w:tab/>
      </w:r>
      <w:r>
        <w:fldChar w:fldCharType="begin"/>
      </w:r>
      <w:r>
        <w:instrText xml:space="preserve"> PAGEREF _Toc163652636 \h </w:instrText>
      </w:r>
      <w:r>
        <w:fldChar w:fldCharType="separate"/>
      </w:r>
      <w:r>
        <w:t>10</w:t>
      </w:r>
      <w:r>
        <w:fldChar w:fldCharType="end"/>
      </w:r>
      <w:r>
        <w:fldChar w:fldCharType="end"/>
      </w:r>
    </w:p>
    <w:p w14:paraId="049AF60B">
      <w:pPr>
        <w:pStyle w:val="21"/>
        <w:tabs>
          <w:tab w:val="right" w:leader="dot" w:pos="9344"/>
        </w:tabs>
        <w:rPr>
          <w:rFonts w:asciiTheme="minorHAnsi" w:hAnsiTheme="minorHAnsi" w:eastAsiaTheme="minorEastAsia" w:cstheme="minorBidi"/>
          <w:szCs w:val="22"/>
        </w:rPr>
      </w:pPr>
      <w:r>
        <w:fldChar w:fldCharType="begin"/>
      </w:r>
      <w:r>
        <w:instrText xml:space="preserve"> HYPERLINK \l "_Toc163652637" </w:instrText>
      </w:r>
      <w:r>
        <w:fldChar w:fldCharType="separate"/>
      </w:r>
      <w:r>
        <w:rPr>
          <w:rStyle w:val="35"/>
        </w:rPr>
        <w:t>参考文献</w:t>
      </w:r>
      <w:r>
        <w:tab/>
      </w:r>
      <w:r>
        <w:fldChar w:fldCharType="begin"/>
      </w:r>
      <w:r>
        <w:instrText xml:space="preserve"> PAGEREF _Toc163652637 \h </w:instrText>
      </w:r>
      <w:r>
        <w:fldChar w:fldCharType="separate"/>
      </w:r>
      <w:r>
        <w:t>13</w:t>
      </w:r>
      <w:r>
        <w:fldChar w:fldCharType="end"/>
      </w:r>
      <w:r>
        <w:fldChar w:fldCharType="end"/>
      </w:r>
    </w:p>
    <w:p w14:paraId="665DB955">
      <w:pPr>
        <w:pStyle w:val="95"/>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30BD676">
      <w:pPr>
        <w:pStyle w:val="93"/>
        <w:spacing w:before="900" w:after="468"/>
      </w:pPr>
      <w:bookmarkStart w:id="30" w:name="_Toc163652598"/>
      <w:bookmarkStart w:id="31" w:name="BookMark2"/>
      <w:r>
        <w:rPr>
          <w:spacing w:val="320"/>
        </w:rPr>
        <w:t>前</w:t>
      </w:r>
      <w:r>
        <w:t>言</w:t>
      </w:r>
      <w:bookmarkEnd w:id="22"/>
      <w:bookmarkEnd w:id="23"/>
      <w:bookmarkEnd w:id="24"/>
      <w:bookmarkEnd w:id="25"/>
      <w:bookmarkEnd w:id="26"/>
      <w:bookmarkEnd w:id="27"/>
      <w:bookmarkEnd w:id="30"/>
    </w:p>
    <w:p w14:paraId="73E67C14">
      <w:pPr>
        <w:pStyle w:val="60"/>
        <w:ind w:firstLine="420"/>
      </w:pPr>
      <w:r>
        <w:rPr>
          <w:rFonts w:hint="eastAsia"/>
        </w:rPr>
        <w:t>本文件按照GB/T 1.1—2020《标准化工作导则  第1部分：标准化文件的结构和起草规则》的规定起草。</w:t>
      </w:r>
    </w:p>
    <w:p w14:paraId="6C70093A">
      <w:pPr>
        <w:snapToGrid w:val="0"/>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请注意本文件</w:t>
      </w:r>
      <w:r>
        <w:rPr>
          <w:rFonts w:ascii="宋体" w:hAnsi="宋体" w:cs="宋体"/>
          <w:color w:val="000000" w:themeColor="text1"/>
          <w:kern w:val="0"/>
          <w14:textFill>
            <w14:solidFill>
              <w14:schemeClr w14:val="tx1"/>
            </w14:solidFill>
          </w14:textFill>
        </w:rPr>
        <w:t>的某些内容可能涉及专利</w:t>
      </w:r>
      <w:r>
        <w:rPr>
          <w:rFonts w:hint="eastAsia" w:ascii="宋体" w:hAnsi="宋体" w:cs="宋体"/>
          <w:color w:val="000000" w:themeColor="text1"/>
          <w:kern w:val="0"/>
          <w14:textFill>
            <w14:solidFill>
              <w14:schemeClr w14:val="tx1"/>
            </w14:solidFill>
          </w14:textFill>
        </w:rPr>
        <w:t>。</w:t>
      </w:r>
      <w:r>
        <w:rPr>
          <w:rFonts w:ascii="宋体" w:hAnsi="宋体" w:cs="宋体"/>
          <w:color w:val="000000" w:themeColor="text1"/>
          <w:kern w:val="0"/>
          <w14:textFill>
            <w14:solidFill>
              <w14:schemeClr w14:val="tx1"/>
            </w14:solidFill>
          </w14:textFill>
        </w:rPr>
        <w:t>本文件的</w:t>
      </w:r>
      <w:r>
        <w:rPr>
          <w:rFonts w:hint="eastAsia" w:ascii="宋体" w:hAnsi="宋体" w:cs="宋体"/>
          <w:color w:val="000000" w:themeColor="text1"/>
          <w:kern w:val="0"/>
          <w14:textFill>
            <w14:solidFill>
              <w14:schemeClr w14:val="tx1"/>
            </w14:solidFill>
          </w14:textFill>
        </w:rPr>
        <w:t>发布</w:t>
      </w:r>
      <w:r>
        <w:rPr>
          <w:rFonts w:ascii="宋体" w:hAnsi="宋体" w:cs="宋体"/>
          <w:color w:val="000000" w:themeColor="text1"/>
          <w:kern w:val="0"/>
          <w14:textFill>
            <w14:solidFill>
              <w14:schemeClr w14:val="tx1"/>
            </w14:solidFill>
          </w14:textFill>
        </w:rPr>
        <w:t>机构不承担识别专利的责任。</w:t>
      </w:r>
    </w:p>
    <w:p w14:paraId="684E5F56">
      <w:pPr>
        <w:pStyle w:val="60"/>
        <w:ind w:firstLine="420"/>
        <w:rPr>
          <w:rFonts w:hAnsi="宋体" w:cs="宋体"/>
          <w:color w:val="000000" w:themeColor="text1"/>
          <w:szCs w:val="21"/>
          <w14:textFill>
            <w14:solidFill>
              <w14:schemeClr w14:val="tx1"/>
            </w14:solidFill>
          </w14:textFill>
        </w:rPr>
      </w:pPr>
      <w:r>
        <w:rPr>
          <w:rFonts w:hint="eastAsia"/>
        </w:rPr>
        <w:t>本文件由</w:t>
      </w:r>
      <w:r>
        <w:rPr>
          <w:rFonts w:hint="eastAsia"/>
          <w:color w:val="000000" w:themeColor="text1"/>
          <w14:textFill>
            <w14:solidFill>
              <w14:schemeClr w14:val="tx1"/>
            </w14:solidFill>
          </w14:textFill>
        </w:rPr>
        <w:t>江苏省卫生健康委员会</w:t>
      </w:r>
      <w:r>
        <w:rPr>
          <w:rFonts w:hint="eastAsia" w:hAnsi="宋体" w:cs="宋体"/>
          <w:color w:val="000000" w:themeColor="text1"/>
          <w:szCs w:val="21"/>
          <w14:textFill>
            <w14:solidFill>
              <w14:schemeClr w14:val="tx1"/>
            </w14:solidFill>
          </w14:textFill>
        </w:rPr>
        <w:t>提出并组织实施。</w:t>
      </w:r>
    </w:p>
    <w:p w14:paraId="232ED13C">
      <w:pPr>
        <w:pStyle w:val="60"/>
        <w:ind w:firstLine="420"/>
        <w:rPr>
          <w:rFonts w:hAnsi="宋体" w:cs="宋体"/>
          <w:color w:val="000000" w:themeColor="text1"/>
          <w:szCs w:val="21"/>
          <w14:textFill>
            <w14:solidFill>
              <w14:schemeClr w14:val="tx1"/>
            </w14:solidFill>
          </w14:textFill>
        </w:rPr>
      </w:pPr>
      <w:r>
        <w:rPr>
          <w:rFonts w:hint="eastAsia"/>
        </w:rPr>
        <w:t>本文件由</w:t>
      </w:r>
      <w:r>
        <w:rPr>
          <w:rFonts w:hint="eastAsia"/>
          <w:color w:val="000000" w:themeColor="text1"/>
          <w14:textFill>
            <w14:solidFill>
              <w14:schemeClr w14:val="tx1"/>
            </w14:solidFill>
          </w14:textFill>
        </w:rPr>
        <w:t>江苏省卫生健康标准化技术委员会</w:t>
      </w:r>
      <w:r>
        <w:rPr>
          <w:rFonts w:hint="eastAsia" w:hAnsi="宋体" w:cs="宋体"/>
          <w:color w:val="000000" w:themeColor="text1"/>
          <w:szCs w:val="21"/>
          <w14:textFill>
            <w14:solidFill>
              <w14:schemeClr w14:val="tx1"/>
            </w14:solidFill>
          </w14:textFill>
        </w:rPr>
        <w:t>归口。</w:t>
      </w:r>
    </w:p>
    <w:p w14:paraId="312D965A">
      <w:pPr>
        <w:pStyle w:val="60"/>
        <w:ind w:firstLine="420"/>
      </w:pPr>
      <w:r>
        <w:rPr>
          <w:rFonts w:hint="eastAsia"/>
        </w:rPr>
        <w:t>本文件起草单位：</w:t>
      </w:r>
      <w:r>
        <w:rPr>
          <w:rFonts w:hint="eastAsia"/>
          <w:color w:val="000000" w:themeColor="text1"/>
          <w14:textFill>
            <w14:solidFill>
              <w14:schemeClr w14:val="tx1"/>
            </w14:solidFill>
          </w14:textFill>
        </w:rPr>
        <w:t>苏州市卫生健康委员会、苏州市疾病预防控制中心、苏州大学、苏州市预防医学会。</w:t>
      </w:r>
    </w:p>
    <w:p w14:paraId="481A6833">
      <w:pPr>
        <w:adjustRightInd/>
        <w:snapToGrid w:val="0"/>
        <w:spacing w:line="240" w:lineRule="auto"/>
        <w:ind w:firstLine="420" w:firstLineChars="200"/>
        <w:rPr>
          <w:rFonts w:ascii="宋体" w:hAnsi="宋体" w:cs="宋体"/>
          <w:color w:val="000000" w:themeColor="text1"/>
          <w:kern w:val="0"/>
          <w14:textFill>
            <w14:solidFill>
              <w14:schemeClr w14:val="tx1"/>
            </w14:solidFill>
          </w14:textFill>
        </w:rPr>
      </w:pPr>
      <w:r>
        <w:rPr>
          <w:rFonts w:hint="eastAsia"/>
        </w:rPr>
        <w:t>本文件主要起草人：</w:t>
      </w:r>
      <w:r>
        <w:rPr>
          <w:rFonts w:hint="eastAsia" w:ascii="宋体" w:hAnsi="宋体" w:cs="宋体"/>
          <w:color w:val="000000" w:themeColor="text1"/>
          <w:kern w:val="0"/>
          <w14:textFill>
            <w14:solidFill>
              <w14:schemeClr w14:val="tx1"/>
            </w14:solidFill>
          </w14:textFill>
        </w:rPr>
        <w:t>潘红英、邓红平、张增利、谢兴潜、刘芳、杨海兵、张宏、李银玲、宋军、常杰。</w:t>
      </w:r>
    </w:p>
    <w:p w14:paraId="1B916F3F">
      <w:pPr>
        <w:pStyle w:val="60"/>
        <w:ind w:firstLine="420"/>
      </w:pPr>
    </w:p>
    <w:p w14:paraId="7AB90B05">
      <w:pPr>
        <w:pStyle w:val="60"/>
        <w:ind w:firstLine="420"/>
        <w:sectPr>
          <w:pgSz w:w="11906" w:h="16838"/>
          <w:pgMar w:top="1928" w:right="1134" w:bottom="1134" w:left="1134" w:header="1418" w:footer="1134" w:gutter="284"/>
          <w:pgNumType w:fmt="upperRoman"/>
          <w:cols w:space="425" w:num="1"/>
          <w:formProt w:val="0"/>
          <w:docGrid w:type="lines" w:linePitch="312" w:charSpace="0"/>
        </w:sectPr>
      </w:pPr>
    </w:p>
    <w:bookmarkEnd w:id="31"/>
    <w:p w14:paraId="15B2466A">
      <w:pPr>
        <w:spacing w:line="20" w:lineRule="exact"/>
        <w:jc w:val="center"/>
        <w:rPr>
          <w:rFonts w:ascii="黑体" w:hAnsi="黑体" w:eastAsia="黑体"/>
          <w:sz w:val="32"/>
          <w:szCs w:val="32"/>
        </w:rPr>
      </w:pPr>
      <w:bookmarkStart w:id="32" w:name="BookMark4"/>
    </w:p>
    <w:p w14:paraId="62CBDB5C">
      <w:pPr>
        <w:spacing w:line="20" w:lineRule="exact"/>
        <w:jc w:val="center"/>
        <w:rPr>
          <w:rFonts w:ascii="黑体" w:hAnsi="黑体" w:eastAsia="黑体"/>
          <w:sz w:val="32"/>
          <w:szCs w:val="32"/>
        </w:rPr>
      </w:pPr>
    </w:p>
    <w:sdt>
      <w:sdtPr>
        <w:tag w:val="NEW_STAND_NAME"/>
        <w:id w:val="595910757"/>
        <w:lock w:val="sdtLocked"/>
        <w:placeholder>
          <w:docPart w:val="824C0175428048A797BD2BAD569D5100"/>
        </w:placeholder>
      </w:sdtPr>
      <w:sdtContent>
        <w:p w14:paraId="7DFAE9D6">
          <w:pPr>
            <w:pStyle w:val="181"/>
            <w:spacing w:before="3" w:beforeLines="1" w:after="686" w:afterLines="220"/>
          </w:pPr>
          <w:bookmarkStart w:id="33" w:name="NEW_STAND_NAME"/>
          <w:r>
            <w:rPr>
              <w:rFonts w:hint="eastAsia"/>
            </w:rPr>
            <w:t>小微企业职业健康帮扶指南</w:t>
          </w:r>
        </w:p>
      </w:sdtContent>
    </w:sdt>
    <w:bookmarkEnd w:id="33"/>
    <w:p w14:paraId="5BA32532">
      <w:pPr>
        <w:pStyle w:val="108"/>
        <w:spacing w:before="312" w:after="312"/>
      </w:pPr>
      <w:bookmarkStart w:id="34" w:name="_Toc163652480"/>
      <w:bookmarkStart w:id="35" w:name="_Toc26718930"/>
      <w:bookmarkStart w:id="36" w:name="_Toc24884211"/>
      <w:bookmarkStart w:id="37" w:name="_Toc26986530"/>
      <w:bookmarkStart w:id="38" w:name="_Toc97191423"/>
      <w:bookmarkStart w:id="39" w:name="_Toc163651994"/>
      <w:bookmarkStart w:id="40" w:name="_Toc17233325"/>
      <w:bookmarkStart w:id="41" w:name="_Toc163649740"/>
      <w:bookmarkStart w:id="42" w:name="_Toc163651665"/>
      <w:bookmarkStart w:id="43" w:name="_Toc163649509"/>
      <w:bookmarkStart w:id="44" w:name="_Toc163652176"/>
      <w:bookmarkStart w:id="45" w:name="_Toc163652105"/>
      <w:bookmarkStart w:id="46" w:name="_Toc26648465"/>
      <w:bookmarkStart w:id="47" w:name="_Toc163652599"/>
      <w:bookmarkStart w:id="48" w:name="_Toc17233333"/>
      <w:bookmarkStart w:id="49" w:name="_Toc26986771"/>
      <w:bookmarkStart w:id="50" w:name="_Toc163652420"/>
      <w:bookmarkStart w:id="51" w:name="_Toc24884218"/>
      <w:bookmarkStart w:id="52" w:name="_Toc163652540"/>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94A031">
      <w:pPr>
        <w:widowControl/>
        <w:tabs>
          <w:tab w:val="center" w:pos="4201"/>
          <w:tab w:val="right" w:leader="dot" w:pos="9298"/>
        </w:tabs>
        <w:autoSpaceDE w:val="0"/>
        <w:autoSpaceDN w:val="0"/>
        <w:ind w:firstLine="420" w:firstLineChars="200"/>
        <w:rPr>
          <w:color w:val="000000" w:themeColor="text1"/>
          <w:kern w:val="0"/>
          <w:szCs w:val="22"/>
          <w14:textFill>
            <w14:solidFill>
              <w14:schemeClr w14:val="tx1"/>
            </w14:solidFill>
          </w14:textFill>
        </w:rPr>
      </w:pPr>
      <w:bookmarkStart w:id="53" w:name="_Toc26648466"/>
      <w:bookmarkStart w:id="54" w:name="_Toc17233334"/>
      <w:bookmarkStart w:id="55" w:name="_Toc24884219"/>
      <w:bookmarkStart w:id="56" w:name="_Toc24884212"/>
      <w:bookmarkStart w:id="57" w:name="_Toc17233326"/>
      <w:r>
        <w:rPr>
          <w:rFonts w:hint="eastAsia"/>
          <w:color w:val="000000" w:themeColor="text1"/>
          <w:kern w:val="0"/>
          <w14:textFill>
            <w14:solidFill>
              <w14:schemeClr w14:val="tx1"/>
            </w14:solidFill>
          </w14:textFill>
        </w:rPr>
        <w:t>本文件给出了小微企业职业健康帮扶的基本原则、帮扶主体、现况调查、帮扶措施、帮扶效果评估、帮扶结果运用等方面的建议。</w:t>
      </w:r>
    </w:p>
    <w:p w14:paraId="04D6347B">
      <w:pPr>
        <w:widowControl/>
        <w:tabs>
          <w:tab w:val="center" w:pos="4201"/>
          <w:tab w:val="right" w:leader="dot" w:pos="9298"/>
        </w:tabs>
        <w:autoSpaceDE w:val="0"/>
        <w:autoSpaceDN w:val="0"/>
        <w:ind w:firstLine="420" w:firstLineChars="200"/>
      </w:pPr>
      <w:r>
        <w:rPr>
          <w:rFonts w:hint="eastAsia"/>
          <w:color w:val="000000" w:themeColor="text1"/>
          <w:kern w:val="0"/>
          <w14:textFill>
            <w14:solidFill>
              <w14:schemeClr w14:val="tx1"/>
            </w14:solidFill>
          </w14:textFill>
        </w:rPr>
        <w:t>本文件适用于卫生行政部门组织开展小微企业职业健康帮扶及效果评估。其他职业健康主管部门可参照执行。</w:t>
      </w:r>
    </w:p>
    <w:p w14:paraId="0AC238F0">
      <w:pPr>
        <w:pStyle w:val="108"/>
        <w:spacing w:before="312" w:after="312"/>
      </w:pPr>
      <w:bookmarkStart w:id="58" w:name="_Toc26986531"/>
      <w:bookmarkStart w:id="59" w:name="_Toc163652541"/>
      <w:bookmarkStart w:id="60" w:name="_Toc163652421"/>
      <w:bookmarkStart w:id="61" w:name="_Toc163652177"/>
      <w:bookmarkStart w:id="62" w:name="_Toc26986772"/>
      <w:bookmarkStart w:id="63" w:name="_Toc97191424"/>
      <w:bookmarkStart w:id="64" w:name="_Toc163652106"/>
      <w:bookmarkStart w:id="65" w:name="_Toc163649510"/>
      <w:bookmarkStart w:id="66" w:name="_Toc163649741"/>
      <w:bookmarkStart w:id="67" w:name="_Toc26718931"/>
      <w:bookmarkStart w:id="68" w:name="_Toc163652481"/>
      <w:bookmarkStart w:id="69" w:name="_Toc163652600"/>
      <w:bookmarkStart w:id="70" w:name="_Toc163651666"/>
      <w:bookmarkStart w:id="71" w:name="_Toc163651995"/>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61296C144D0942BA86173E89026CB5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716F4D">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FEF8F1">
      <w:pPr>
        <w:pStyle w:val="60"/>
        <w:ind w:firstLine="420"/>
        <w:rPr>
          <w:color w:val="000000" w:themeColor="text1"/>
          <w14:textFill>
            <w14:solidFill>
              <w14:schemeClr w14:val="tx1"/>
            </w14:solidFill>
          </w14:textFill>
        </w:rPr>
      </w:pPr>
      <w:bookmarkStart w:id="72" w:name="_Toc12853_WPSOffice_Level1"/>
      <w:bookmarkStart w:id="73" w:name="_Toc20614_WPSOffice_Level1"/>
      <w:r>
        <w:rPr>
          <w:rFonts w:hint="eastAsia"/>
          <w:color w:val="000000" w:themeColor="text1"/>
          <w14:textFill>
            <w14:solidFill>
              <w14:schemeClr w14:val="tx1"/>
            </w14:solidFill>
          </w14:textFill>
        </w:rPr>
        <w:t>GBZ/T 224  职业卫生名词术语</w:t>
      </w:r>
    </w:p>
    <w:bookmarkEnd w:id="72"/>
    <w:bookmarkEnd w:id="73"/>
    <w:p w14:paraId="7EEAF04B">
      <w:pPr>
        <w:pStyle w:val="108"/>
        <w:spacing w:before="312" w:after="312"/>
      </w:pPr>
      <w:bookmarkStart w:id="74" w:name="_Toc163651667"/>
      <w:bookmarkStart w:id="75" w:name="_Toc163649742"/>
      <w:bookmarkStart w:id="76" w:name="_Toc163652482"/>
      <w:bookmarkStart w:id="77" w:name="_Toc163652107"/>
      <w:bookmarkStart w:id="78" w:name="_Toc163652601"/>
      <w:bookmarkStart w:id="79" w:name="_Toc163652178"/>
      <w:bookmarkStart w:id="80" w:name="_Toc163649511"/>
      <w:bookmarkStart w:id="81" w:name="_Toc163651996"/>
      <w:bookmarkStart w:id="82" w:name="_Toc163652542"/>
      <w:bookmarkStart w:id="83" w:name="_Toc97191425"/>
      <w:bookmarkStart w:id="84" w:name="_Toc163652422"/>
      <w:r>
        <w:rPr>
          <w:rFonts w:hint="eastAsia"/>
          <w:szCs w:val="21"/>
        </w:rPr>
        <w:t>术语和定义</w:t>
      </w:r>
      <w:bookmarkEnd w:id="74"/>
      <w:bookmarkEnd w:id="75"/>
      <w:bookmarkEnd w:id="76"/>
      <w:bookmarkEnd w:id="77"/>
      <w:bookmarkEnd w:id="78"/>
      <w:bookmarkEnd w:id="79"/>
      <w:bookmarkEnd w:id="80"/>
      <w:bookmarkEnd w:id="81"/>
      <w:bookmarkEnd w:id="82"/>
      <w:bookmarkEnd w:id="83"/>
      <w:bookmarkEnd w:id="84"/>
    </w:p>
    <w:sdt>
      <w:sdtPr>
        <w:rPr>
          <w:rFonts w:hAnsi="宋体" w:cs="宋体"/>
          <w:color w:val="000000"/>
          <w:szCs w:val="22"/>
        </w:rPr>
        <w:id w:val="-1909835108"/>
        <w:placeholder>
          <w:docPart w:val="FF8692F80F964C27A25D33889CB704A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cs="宋体"/>
          <w:color w:val="000000"/>
          <w:szCs w:val="22"/>
        </w:rPr>
      </w:sdtEndPr>
      <w:sdtContent>
        <w:p w14:paraId="7A237345">
          <w:pPr>
            <w:pStyle w:val="60"/>
            <w:ind w:firstLine="420"/>
          </w:pPr>
          <w:bookmarkStart w:id="85" w:name="_Toc26986532"/>
          <w:bookmarkEnd w:id="85"/>
          <w:r>
            <w:rPr>
              <w:rFonts w:hint="eastAsia" w:hAnsi="宋体" w:cs="宋体"/>
              <w:color w:val="000000"/>
              <w:szCs w:val="22"/>
            </w:rPr>
            <w:t>GBZ/T 224</w:t>
          </w:r>
          <w:r>
            <w:rPr>
              <w:rFonts w:hAnsi="宋体" w:cs="宋体"/>
              <w:color w:val="000000"/>
              <w:szCs w:val="22"/>
            </w:rPr>
            <w:t>界定的以及下列术语和定义适用于本文件。</w:t>
          </w:r>
        </w:p>
      </w:sdtContent>
    </w:sdt>
    <w:p w14:paraId="4FA2434C">
      <w:pPr>
        <w:pStyle w:val="227"/>
        <w:ind w:left="420" w:hanging="420" w:hangingChars="200"/>
        <w:rPr>
          <w:rFonts w:ascii="黑体" w:hAnsi="黑体" w:eastAsia="黑体" w:cs="黑体"/>
          <w:color w:val="000000" w:themeColor="text1"/>
          <w14:textFill>
            <w14:solidFill>
              <w14:schemeClr w14:val="tx1"/>
            </w14:solidFill>
          </w14:textFill>
        </w:rPr>
      </w:pPr>
      <w:bookmarkStart w:id="86" w:name="_Toc163652543"/>
      <w:bookmarkEnd w:id="86"/>
      <w:bookmarkStart w:id="87" w:name="_Toc163652602"/>
      <w:bookmarkEnd w:id="87"/>
      <w:bookmarkStart w:id="88" w:name="_Toc163649512"/>
      <w:bookmarkEnd w:id="88"/>
      <w:bookmarkStart w:id="89" w:name="_Toc163651668"/>
      <w:bookmarkEnd w:id="89"/>
      <w:bookmarkStart w:id="90" w:name="_Toc163652179"/>
      <w:bookmarkEnd w:id="90"/>
      <w:bookmarkStart w:id="91" w:name="_Toc163651997"/>
      <w:bookmarkEnd w:id="91"/>
      <w:bookmarkStart w:id="92" w:name="_Toc163652423"/>
      <w:bookmarkEnd w:id="92"/>
      <w:bookmarkStart w:id="93" w:name="_Toc163652483"/>
      <w:bookmarkEnd w:id="93"/>
      <w:bookmarkStart w:id="94" w:name="_Toc163652108"/>
      <w:bookmarkEnd w:id="94"/>
      <w:bookmarkStart w:id="95" w:name="_Toc163649743"/>
      <w:bookmarkEnd w:id="95"/>
    </w:p>
    <w:p w14:paraId="58E805DF">
      <w:pPr>
        <w:ind w:firstLine="420" w:firstLineChars="200"/>
        <w:rPr>
          <w:rFonts w:ascii="黑体" w:hAnsi="黑体" w:eastAsia="黑体" w:cs="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个人防护用品</w:t>
      </w:r>
      <w:r>
        <w:rPr>
          <w:rFonts w:hint="eastAsia" w:ascii="黑体" w:hAnsi="黑体" w:eastAsia="黑体"/>
          <w:spacing w:val="-7"/>
          <w:sz w:val="20"/>
          <w:szCs w:val="20"/>
        </w:rPr>
        <w:t xml:space="preserve">  </w:t>
      </w:r>
      <w:r>
        <w:rPr>
          <w:rFonts w:hint="eastAsia" w:ascii="黑体" w:hAnsi="黑体" w:eastAsia="黑体" w:cs="黑体"/>
          <w:color w:val="000000" w:themeColor="text1"/>
          <w14:textFill>
            <w14:solidFill>
              <w14:schemeClr w14:val="tx1"/>
            </w14:solidFill>
          </w14:textFill>
        </w:rPr>
        <w:t>personal protective equipment（P</w:t>
      </w:r>
      <w:r>
        <w:rPr>
          <w:rFonts w:ascii="黑体" w:hAnsi="黑体" w:eastAsia="黑体" w:cs="黑体"/>
          <w:color w:val="000000" w:themeColor="text1"/>
          <w14:textFill>
            <w14:solidFill>
              <w14:schemeClr w14:val="tx1"/>
            </w14:solidFill>
          </w14:textFill>
        </w:rPr>
        <w:t>PE</w:t>
      </w:r>
      <w:r>
        <w:rPr>
          <w:rFonts w:hint="eastAsia" w:ascii="黑体" w:hAnsi="黑体" w:eastAsia="黑体" w:cs="黑体"/>
          <w:color w:val="000000" w:themeColor="text1"/>
          <w14:textFill>
            <w14:solidFill>
              <w14:schemeClr w14:val="tx1"/>
            </w14:solidFill>
          </w14:textFill>
        </w:rPr>
        <w:t>）</w:t>
      </w:r>
    </w:p>
    <w:p w14:paraId="7D82E6A7">
      <w:pPr>
        <w:tabs>
          <w:tab w:val="center" w:pos="4201"/>
          <w:tab w:val="right" w:leader="dot" w:pos="9298"/>
        </w:tabs>
        <w:autoSpaceDE w:val="0"/>
        <w:autoSpaceDN w:val="0"/>
        <w:ind w:firstLine="420" w:firstLineChars="200"/>
      </w:pPr>
      <w:bookmarkStart w:id="96" w:name="OLE_LINK6"/>
      <w:r>
        <w:rPr>
          <w:rFonts w:hint="eastAsia"/>
        </w:rPr>
        <w:t>又称个人职业病防护用品，指劳动者在劳动中为防御物理、化学、生物等外界因素伤害而穿戴、配备以及涂抹、使用的各种物品的总称。</w:t>
      </w:r>
    </w:p>
    <w:bookmarkEnd w:id="96"/>
    <w:p w14:paraId="5C3A9730">
      <w:pPr>
        <w:pStyle w:val="227"/>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职业病危害因素  occupational hazards</w:t>
      </w:r>
    </w:p>
    <w:p w14:paraId="3EE1D931">
      <w:pPr>
        <w:tabs>
          <w:tab w:val="center" w:pos="4201"/>
          <w:tab w:val="right" w:leader="dot" w:pos="9298"/>
        </w:tabs>
        <w:autoSpaceDE w:val="0"/>
        <w:autoSpaceDN w:val="0"/>
        <w:ind w:firstLine="420" w:firstLineChars="200"/>
      </w:pPr>
      <w:bookmarkStart w:id="97" w:name="OLE_LINK8"/>
      <w:bookmarkStart w:id="98" w:name="OLE_LINK7"/>
      <w:r>
        <w:rPr>
          <w:rFonts w:hint="eastAsia"/>
        </w:rPr>
        <w:t>在职业活动中产生和(或)存在的、可能对职业人群健康、安全和作业能力造成不良影响的因素或条件，包括化学、物理、生物等因素。</w:t>
      </w:r>
      <w:bookmarkStart w:id="99" w:name="_Toc163651999"/>
      <w:bookmarkEnd w:id="99"/>
      <w:bookmarkStart w:id="100" w:name="_Toc163652181"/>
      <w:bookmarkEnd w:id="100"/>
      <w:bookmarkStart w:id="101" w:name="_Toc163649745"/>
      <w:bookmarkEnd w:id="101"/>
      <w:bookmarkStart w:id="102" w:name="_Toc2803"/>
      <w:bookmarkEnd w:id="102"/>
      <w:bookmarkStart w:id="103" w:name="_Toc163652545"/>
      <w:bookmarkEnd w:id="103"/>
      <w:bookmarkStart w:id="104" w:name="_Toc19143"/>
      <w:bookmarkEnd w:id="104"/>
      <w:bookmarkStart w:id="105" w:name="_Toc163652485"/>
      <w:bookmarkEnd w:id="105"/>
      <w:bookmarkStart w:id="106" w:name="_Toc163652110"/>
      <w:bookmarkEnd w:id="106"/>
      <w:bookmarkStart w:id="107" w:name="_Toc11998"/>
      <w:bookmarkEnd w:id="107"/>
      <w:bookmarkStart w:id="108" w:name="_Toc163652425"/>
      <w:bookmarkEnd w:id="108"/>
      <w:bookmarkStart w:id="109" w:name="_Toc11234"/>
      <w:bookmarkEnd w:id="109"/>
      <w:bookmarkStart w:id="110" w:name="_Toc8940"/>
      <w:bookmarkEnd w:id="110"/>
      <w:bookmarkStart w:id="111" w:name="_Toc1914"/>
      <w:bookmarkEnd w:id="111"/>
      <w:bookmarkStart w:id="112" w:name="_Toc163652604"/>
      <w:bookmarkEnd w:id="112"/>
      <w:bookmarkStart w:id="113" w:name="_Toc163649514"/>
      <w:bookmarkEnd w:id="113"/>
      <w:bookmarkStart w:id="114" w:name="_Toc163651670"/>
      <w:bookmarkEnd w:id="114"/>
    </w:p>
    <w:bookmarkEnd w:id="97"/>
    <w:bookmarkEnd w:id="98"/>
    <w:p w14:paraId="3A4A862E">
      <w:pPr>
        <w:pStyle w:val="227"/>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职业卫生技术服务机构  occupational-health technical service organizations</w:t>
      </w:r>
    </w:p>
    <w:p w14:paraId="09229DC8">
      <w:pPr>
        <w:tabs>
          <w:tab w:val="center" w:pos="4201"/>
          <w:tab w:val="right" w:leader="dot" w:pos="9298"/>
        </w:tabs>
        <w:autoSpaceDE w:val="0"/>
        <w:autoSpaceDN w:val="0"/>
        <w:ind w:firstLine="420" w:firstLineChars="200"/>
      </w:pPr>
      <w:r>
        <w:rPr>
          <w:rFonts w:hint="eastAsia"/>
        </w:rPr>
        <w:t>为用人单位提供职业病危害因素检测、职业病危害现状评价、职业病防护设备设施与防护用品的效果评价等技术服务的机构。</w:t>
      </w:r>
      <w:bookmarkStart w:id="115" w:name="_Toc9682"/>
      <w:bookmarkEnd w:id="115"/>
      <w:bookmarkStart w:id="116" w:name="_Toc163649515"/>
      <w:bookmarkEnd w:id="116"/>
      <w:bookmarkStart w:id="117" w:name="_Toc163651671"/>
      <w:bookmarkEnd w:id="117"/>
      <w:bookmarkStart w:id="118" w:name="_Toc30934"/>
      <w:bookmarkEnd w:id="118"/>
      <w:bookmarkStart w:id="119" w:name="_Toc163652486"/>
      <w:bookmarkEnd w:id="119"/>
      <w:bookmarkStart w:id="120" w:name="_Toc3636"/>
      <w:bookmarkEnd w:id="120"/>
      <w:bookmarkStart w:id="121" w:name="_Toc163652000"/>
      <w:bookmarkEnd w:id="121"/>
      <w:bookmarkStart w:id="122" w:name="_Toc17085"/>
      <w:bookmarkEnd w:id="122"/>
      <w:bookmarkStart w:id="123" w:name="_Toc7678"/>
      <w:bookmarkEnd w:id="123"/>
      <w:bookmarkStart w:id="124" w:name="_Toc10963"/>
      <w:bookmarkEnd w:id="124"/>
      <w:bookmarkStart w:id="125" w:name="_Toc163652605"/>
      <w:bookmarkEnd w:id="125"/>
      <w:bookmarkStart w:id="126" w:name="_Toc163652426"/>
      <w:bookmarkEnd w:id="126"/>
      <w:bookmarkStart w:id="127" w:name="_Toc163649746"/>
      <w:bookmarkEnd w:id="127"/>
      <w:bookmarkStart w:id="128" w:name="_Toc106787897"/>
      <w:bookmarkEnd w:id="128"/>
      <w:bookmarkStart w:id="129" w:name="_Toc163652546"/>
      <w:bookmarkEnd w:id="129"/>
      <w:bookmarkStart w:id="130" w:name="_Toc163652182"/>
      <w:bookmarkEnd w:id="130"/>
      <w:bookmarkStart w:id="131" w:name="_Toc163652111"/>
      <w:bookmarkEnd w:id="131"/>
    </w:p>
    <w:p w14:paraId="501B90FC">
      <w:pPr>
        <w:pStyle w:val="227"/>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职业健康帮扶  occupational health assistance</w:t>
      </w:r>
    </w:p>
    <w:p w14:paraId="2AB38134">
      <w:pPr>
        <w:tabs>
          <w:tab w:val="center" w:pos="4201"/>
          <w:tab w:val="right" w:leader="dot" w:pos="9298"/>
        </w:tabs>
        <w:autoSpaceDE w:val="0"/>
        <w:autoSpaceDN w:val="0"/>
        <w:ind w:firstLine="420" w:firstLineChars="200"/>
      </w:pPr>
      <w:r>
        <w:rPr>
          <w:rFonts w:hint="eastAsia"/>
          <w:lang w:val="en-US" w:eastAsia="zh-CN"/>
        </w:rPr>
        <w:t>本文件所指职业健康帮扶是指</w:t>
      </w:r>
      <w:r>
        <w:rPr>
          <w:rFonts w:hint="eastAsia"/>
        </w:rPr>
        <w:t>帮助扶持小微企业辨识职业病危害因素，改善职业健康管理薄弱现状，提高职业健康管理意识和能力，完善职业健康管理基础工作，为保护劳动者健康权益提供健康保障的行动。</w:t>
      </w:r>
    </w:p>
    <w:p w14:paraId="191D979B">
      <w:pPr>
        <w:pStyle w:val="108"/>
        <w:spacing w:before="312" w:after="312"/>
      </w:pPr>
      <w:bookmarkStart w:id="132" w:name="_Toc163652487"/>
      <w:bookmarkStart w:id="133" w:name="_Toc163652606"/>
      <w:bookmarkStart w:id="134" w:name="_Toc163649747"/>
      <w:bookmarkStart w:id="135" w:name="_Toc163652547"/>
      <w:bookmarkStart w:id="136" w:name="_Toc163652001"/>
      <w:bookmarkStart w:id="137" w:name="_Toc163652427"/>
      <w:bookmarkStart w:id="138" w:name="_Toc163652183"/>
      <w:bookmarkStart w:id="139" w:name="_Toc163652112"/>
      <w:bookmarkStart w:id="140" w:name="_Toc163649516"/>
      <w:bookmarkStart w:id="141" w:name="_Toc163651672"/>
      <w:r>
        <w:rPr>
          <w:rFonts w:hint="eastAsia"/>
        </w:rPr>
        <w:t>基本原则</w:t>
      </w:r>
      <w:bookmarkEnd w:id="132"/>
      <w:bookmarkEnd w:id="133"/>
      <w:bookmarkEnd w:id="134"/>
      <w:bookmarkEnd w:id="135"/>
      <w:bookmarkEnd w:id="136"/>
      <w:bookmarkEnd w:id="137"/>
      <w:bookmarkEnd w:id="138"/>
      <w:bookmarkEnd w:id="139"/>
      <w:bookmarkEnd w:id="140"/>
      <w:bookmarkEnd w:id="141"/>
    </w:p>
    <w:p w14:paraId="42CA7772">
      <w:pPr>
        <w:pStyle w:val="109"/>
        <w:spacing w:before="156" w:after="156"/>
      </w:pPr>
      <w:r>
        <w:rPr>
          <w:rFonts w:hint="eastAsia"/>
        </w:rPr>
        <w:t xml:space="preserve">明确重点，科学规范 </w:t>
      </w:r>
    </w:p>
    <w:p w14:paraId="5E7C8DED">
      <w:pPr>
        <w:pStyle w:val="60"/>
        <w:ind w:firstLine="420"/>
      </w:pPr>
      <w:bookmarkStart w:id="142" w:name="_Toc163652002"/>
      <w:bookmarkStart w:id="143" w:name="_Toc163651673"/>
      <w:bookmarkStart w:id="144" w:name="_Toc163649517"/>
      <w:bookmarkStart w:id="145" w:name="_Toc163652113"/>
      <w:bookmarkStart w:id="146" w:name="_Toc163649748"/>
      <w:r>
        <w:rPr>
          <w:rFonts w:hint="eastAsia"/>
        </w:rPr>
        <w:t>选择符合条件的小微企业作为帮扶对象，以贯彻落实职业卫生相关法律法规、规章、标准为要求，遵循科学的方法，帮助查找职业健康管理方面的突出问题，制订精准化帮扶方案。</w:t>
      </w:r>
      <w:bookmarkEnd w:id="142"/>
      <w:bookmarkEnd w:id="143"/>
      <w:bookmarkEnd w:id="144"/>
      <w:bookmarkEnd w:id="145"/>
      <w:bookmarkEnd w:id="146"/>
    </w:p>
    <w:p w14:paraId="1DA8DE3F">
      <w:pPr>
        <w:pStyle w:val="109"/>
        <w:spacing w:before="156" w:after="156"/>
        <w:rPr>
          <w:color w:val="000000" w:themeColor="text1"/>
          <w14:textFill>
            <w14:solidFill>
              <w14:schemeClr w14:val="tx1"/>
            </w14:solidFill>
          </w14:textFill>
        </w:rPr>
      </w:pPr>
      <w:bookmarkStart w:id="147" w:name="_Toc163652114"/>
      <w:bookmarkStart w:id="148" w:name="_Toc163652607"/>
      <w:bookmarkStart w:id="149" w:name="_Toc163649518"/>
      <w:bookmarkStart w:id="150" w:name="_Toc163652003"/>
      <w:bookmarkStart w:id="151" w:name="_Toc163652548"/>
      <w:bookmarkStart w:id="152" w:name="_Toc163652428"/>
      <w:bookmarkStart w:id="153" w:name="_Toc163652184"/>
      <w:bookmarkStart w:id="154" w:name="_Toc163649749"/>
      <w:bookmarkStart w:id="155" w:name="_Toc163651674"/>
      <w:bookmarkStart w:id="156" w:name="_Toc163652488"/>
      <w:r>
        <w:rPr>
          <w:rFonts w:hint="eastAsia" w:hAnsi="黑体" w:cs="黑体"/>
          <w:color w:val="000000" w:themeColor="text1"/>
          <w14:textFill>
            <w14:solidFill>
              <w14:schemeClr w14:val="tx1"/>
            </w14:solidFill>
          </w14:textFill>
        </w:rPr>
        <w:t>落实责任，巩固成</w:t>
      </w:r>
      <w:r>
        <w:rPr>
          <w:rFonts w:hint="eastAsia"/>
          <w:color w:val="000000" w:themeColor="text1"/>
          <w14:textFill>
            <w14:solidFill>
              <w14:schemeClr w14:val="tx1"/>
            </w14:solidFill>
          </w14:textFill>
        </w:rPr>
        <w:t>效</w:t>
      </w:r>
      <w:bookmarkEnd w:id="147"/>
      <w:bookmarkEnd w:id="148"/>
      <w:bookmarkEnd w:id="149"/>
      <w:bookmarkEnd w:id="150"/>
      <w:bookmarkEnd w:id="151"/>
      <w:bookmarkEnd w:id="152"/>
      <w:bookmarkEnd w:id="153"/>
      <w:bookmarkEnd w:id="154"/>
      <w:bookmarkEnd w:id="155"/>
      <w:bookmarkEnd w:id="156"/>
    </w:p>
    <w:p w14:paraId="7770D7BB">
      <w:pPr>
        <w:pStyle w:val="60"/>
        <w:ind w:firstLine="420"/>
      </w:pPr>
      <w:r>
        <w:rPr>
          <w:rFonts w:hint="eastAsia"/>
        </w:rPr>
        <w:t>通过指导和引导，促进小微企业主动落实职业病防治主体责任，不断巩固提升职业健康管理能力水平。</w:t>
      </w:r>
    </w:p>
    <w:p w14:paraId="4E025E65">
      <w:pPr>
        <w:pStyle w:val="109"/>
        <w:spacing w:before="156" w:after="156"/>
      </w:pPr>
      <w:bookmarkStart w:id="157" w:name="_Toc163652185"/>
      <w:bookmarkStart w:id="158" w:name="_Toc163652549"/>
      <w:bookmarkStart w:id="159" w:name="_Toc163652489"/>
      <w:bookmarkStart w:id="160" w:name="_Toc163652004"/>
      <w:bookmarkStart w:id="161" w:name="_Toc163649750"/>
      <w:bookmarkStart w:id="162" w:name="_Toc163652115"/>
      <w:bookmarkStart w:id="163" w:name="_Toc163651675"/>
      <w:bookmarkStart w:id="164" w:name="_Toc163649519"/>
      <w:bookmarkStart w:id="165" w:name="_Toc163652608"/>
      <w:bookmarkStart w:id="166" w:name="_Toc163652429"/>
      <w:r>
        <w:rPr>
          <w:rFonts w:hint="eastAsia"/>
        </w:rPr>
        <w:t>创新模式，促进发展</w:t>
      </w:r>
      <w:bookmarkEnd w:id="157"/>
      <w:bookmarkEnd w:id="158"/>
      <w:bookmarkEnd w:id="159"/>
      <w:bookmarkEnd w:id="160"/>
      <w:bookmarkEnd w:id="161"/>
      <w:bookmarkEnd w:id="162"/>
      <w:bookmarkEnd w:id="163"/>
      <w:bookmarkEnd w:id="164"/>
      <w:bookmarkEnd w:id="165"/>
      <w:bookmarkEnd w:id="166"/>
    </w:p>
    <w:p w14:paraId="4107F868">
      <w:pPr>
        <w:pStyle w:val="60"/>
        <w:ind w:firstLine="420"/>
      </w:pPr>
      <w:r>
        <w:rPr>
          <w:rFonts w:hint="eastAsia"/>
        </w:rPr>
        <w:t>以劳动者健康为中心，探索创新工作模式，激发小微企业内生动力，推动建立职业健康高质量发展的长效工作机制，提升劳动者职业健康素养。</w:t>
      </w:r>
    </w:p>
    <w:p w14:paraId="66E69067">
      <w:pPr>
        <w:pStyle w:val="108"/>
        <w:spacing w:before="312" w:after="312"/>
      </w:pPr>
      <w:r>
        <w:rPr>
          <w:rFonts w:hint="eastAsia"/>
        </w:rPr>
        <w:t>帮扶主体</w:t>
      </w:r>
    </w:p>
    <w:p w14:paraId="0D0CF20B">
      <w:pPr>
        <w:pStyle w:val="109"/>
        <w:spacing w:before="156" w:after="156"/>
      </w:pPr>
      <w:r>
        <w:rPr>
          <w:rFonts w:hint="eastAsia"/>
        </w:rPr>
        <w:t>委托方</w:t>
      </w:r>
    </w:p>
    <w:p w14:paraId="76C620C3">
      <w:pPr>
        <w:pStyle w:val="60"/>
        <w:ind w:firstLine="420"/>
      </w:pPr>
      <w:bookmarkStart w:id="167" w:name="OLE_LINK14"/>
      <w:r>
        <w:rPr>
          <w:rFonts w:hint="eastAsia"/>
        </w:rPr>
        <w:t>小微企业职业健康帮扶</w:t>
      </w:r>
      <w:bookmarkEnd w:id="167"/>
      <w:r>
        <w:rPr>
          <w:rFonts w:hint="eastAsia"/>
        </w:rPr>
        <w:t>组织方。</w:t>
      </w:r>
    </w:p>
    <w:p w14:paraId="1C31AA4E">
      <w:pPr>
        <w:pStyle w:val="109"/>
        <w:spacing w:before="156" w:after="156"/>
      </w:pPr>
      <w:r>
        <w:rPr>
          <w:rFonts w:hint="eastAsia"/>
        </w:rPr>
        <w:t>帮扶方</w:t>
      </w:r>
    </w:p>
    <w:p w14:paraId="1A063022">
      <w:pPr>
        <w:pStyle w:val="60"/>
        <w:ind w:firstLine="420"/>
      </w:pPr>
      <w:r>
        <w:rPr>
          <w:rFonts w:hint="eastAsia"/>
        </w:rPr>
        <w:t>由职业卫生技术服务机构或</w:t>
      </w:r>
      <w:r>
        <w:rPr>
          <w:rFonts w:hint="eastAsia"/>
          <w:lang w:val="en-US" w:eastAsia="zh-CN"/>
        </w:rPr>
        <w:t>疾病预防控制中心（</w:t>
      </w:r>
      <w:r>
        <w:rPr>
          <w:rFonts w:hint="eastAsia"/>
        </w:rPr>
        <w:t>卫生监督</w:t>
      </w:r>
      <w:r>
        <w:rPr>
          <w:rFonts w:hint="eastAsia"/>
          <w:lang w:val="en-US" w:eastAsia="zh-CN"/>
        </w:rPr>
        <w:t>所）</w:t>
      </w:r>
      <w:r>
        <w:rPr>
          <w:rFonts w:hint="eastAsia"/>
        </w:rPr>
        <w:t>组成。</w:t>
      </w:r>
    </w:p>
    <w:p w14:paraId="6F38353D">
      <w:pPr>
        <w:pStyle w:val="109"/>
        <w:spacing w:before="156" w:after="156"/>
      </w:pPr>
      <w:r>
        <w:rPr>
          <w:rFonts w:hint="eastAsia"/>
        </w:rPr>
        <w:t>被帮扶方</w:t>
      </w:r>
    </w:p>
    <w:p w14:paraId="04B9F726">
      <w:pPr>
        <w:pStyle w:val="60"/>
        <w:ind w:firstLine="420"/>
        <w:rPr>
          <w:rFonts w:ascii="黑体" w:eastAsia="黑体"/>
        </w:rPr>
      </w:pPr>
      <w:bookmarkStart w:id="168" w:name="_Toc17994"/>
      <w:r>
        <w:rPr>
          <w:rFonts w:hint="eastAsia"/>
        </w:rPr>
        <w:t>被帮扶方同时具备以下条件：</w:t>
      </w:r>
      <w:bookmarkEnd w:id="168"/>
    </w:p>
    <w:p w14:paraId="55021FC5">
      <w:pPr>
        <w:pStyle w:val="178"/>
      </w:pPr>
      <w:r>
        <w:rPr>
          <w:rFonts w:hint="eastAsia"/>
        </w:rPr>
        <w:t>处于正常生产负荷状态的小微企业。小微型企业划分参照国家统计局《统计上大中小微型企业划分办法》；</w:t>
      </w:r>
    </w:p>
    <w:p w14:paraId="08BA0F9C">
      <w:pPr>
        <w:pStyle w:val="178"/>
      </w:pPr>
      <w:r>
        <w:rPr>
          <w:rFonts w:hint="eastAsia"/>
        </w:rPr>
        <w:t>职业健康管理基础工作薄弱企业，符合以下条件之一：</w:t>
      </w:r>
    </w:p>
    <w:p w14:paraId="01529D05">
      <w:pPr>
        <w:pStyle w:val="113"/>
      </w:pPr>
      <w:r>
        <w:rPr>
          <w:rFonts w:hint="eastAsia"/>
        </w:rPr>
        <w:t>未开展职业病危害因素定期检测，或最近一次职业病危害因素检测超标点位数占比达到20%以上；</w:t>
      </w:r>
    </w:p>
    <w:p w14:paraId="64A36CF8">
      <w:pPr>
        <w:pStyle w:val="113"/>
      </w:pPr>
      <w:r>
        <w:rPr>
          <w:rFonts w:hint="eastAsia"/>
        </w:rPr>
        <w:t>未定期组织职业健康检查，或最近一年职业健康检查实检率低于90%，或最近一年职业禁忌证和疑似职业病人数达到5人以上；</w:t>
      </w:r>
    </w:p>
    <w:p w14:paraId="1EF24B23">
      <w:pPr>
        <w:pStyle w:val="113"/>
      </w:pPr>
      <w:r>
        <w:rPr>
          <w:rFonts w:hint="eastAsia"/>
        </w:rPr>
        <w:t>近一年有新增职业病病例。</w:t>
      </w:r>
    </w:p>
    <w:p w14:paraId="344443E7">
      <w:pPr>
        <w:pStyle w:val="108"/>
        <w:spacing w:before="312" w:after="312"/>
      </w:pPr>
      <w:bookmarkStart w:id="169" w:name="_Toc163652187"/>
      <w:bookmarkStart w:id="170" w:name="_Toc163652551"/>
      <w:bookmarkStart w:id="171" w:name="_Toc163652431"/>
      <w:bookmarkStart w:id="172" w:name="_Toc163652610"/>
      <w:bookmarkStart w:id="173" w:name="_Toc163652491"/>
      <w:bookmarkStart w:id="174" w:name="_Toc163652117"/>
      <w:bookmarkStart w:id="175" w:name="_Toc163649521"/>
      <w:bookmarkStart w:id="176" w:name="_Toc163652006"/>
      <w:bookmarkStart w:id="177" w:name="_Toc163651677"/>
      <w:bookmarkStart w:id="178" w:name="_Toc163649752"/>
      <w:r>
        <w:rPr>
          <w:rFonts w:hint="eastAsia"/>
        </w:rPr>
        <w:t>现况调查</w:t>
      </w:r>
      <w:bookmarkEnd w:id="169"/>
      <w:bookmarkEnd w:id="170"/>
      <w:bookmarkEnd w:id="171"/>
      <w:bookmarkEnd w:id="172"/>
      <w:bookmarkEnd w:id="173"/>
      <w:bookmarkEnd w:id="174"/>
      <w:bookmarkEnd w:id="175"/>
      <w:bookmarkEnd w:id="176"/>
      <w:bookmarkEnd w:id="177"/>
      <w:bookmarkEnd w:id="178"/>
    </w:p>
    <w:p w14:paraId="74151B22">
      <w:pPr>
        <w:pStyle w:val="109"/>
        <w:spacing w:before="156" w:after="156"/>
      </w:pPr>
      <w:bookmarkStart w:id="179" w:name="_Toc163652611"/>
      <w:bookmarkStart w:id="180" w:name="_Toc163652007"/>
      <w:bookmarkStart w:id="181" w:name="_Toc163649753"/>
      <w:bookmarkStart w:id="182" w:name="_Toc163652492"/>
      <w:bookmarkStart w:id="183" w:name="_Toc163652188"/>
      <w:bookmarkStart w:id="184" w:name="_Toc163652118"/>
      <w:bookmarkStart w:id="185" w:name="_Toc163651678"/>
      <w:bookmarkStart w:id="186" w:name="_Toc163652432"/>
      <w:bookmarkStart w:id="187" w:name="_Toc163652552"/>
      <w:bookmarkStart w:id="188" w:name="_Toc163649522"/>
      <w:r>
        <w:rPr>
          <w:rFonts w:hint="eastAsia"/>
        </w:rPr>
        <w:t>调查机构</w:t>
      </w:r>
      <w:bookmarkEnd w:id="179"/>
      <w:bookmarkEnd w:id="180"/>
      <w:bookmarkEnd w:id="181"/>
      <w:bookmarkEnd w:id="182"/>
      <w:bookmarkEnd w:id="183"/>
      <w:bookmarkEnd w:id="184"/>
      <w:bookmarkEnd w:id="185"/>
      <w:bookmarkEnd w:id="186"/>
      <w:bookmarkEnd w:id="187"/>
      <w:bookmarkEnd w:id="188"/>
    </w:p>
    <w:p w14:paraId="585FC99E">
      <w:pPr>
        <w:pStyle w:val="234"/>
        <w:rPr>
          <w:color w:val="000000" w:themeColor="text1"/>
          <w14:textFill>
            <w14:solidFill>
              <w14:schemeClr w14:val="tx1"/>
            </w14:solidFill>
          </w14:textFill>
        </w:rPr>
      </w:pPr>
      <w:r>
        <w:rPr>
          <w:rFonts w:hint="eastAsia"/>
          <w:color w:val="000000" w:themeColor="text1"/>
          <w14:textFill>
            <w14:solidFill>
              <w14:schemeClr w14:val="tx1"/>
            </w14:solidFill>
          </w14:textFill>
        </w:rPr>
        <w:t>同</w:t>
      </w:r>
      <w:r>
        <w:rPr>
          <w:color w:val="000000" w:themeColor="text1"/>
          <w14:textFill>
            <w14:solidFill>
              <w14:schemeClr w14:val="tx1"/>
            </w14:solidFill>
          </w14:textFill>
        </w:rPr>
        <w:t>5.2</w:t>
      </w:r>
      <w:r>
        <w:rPr>
          <w:rFonts w:hint="eastAsia"/>
          <w:color w:val="000000" w:themeColor="text1"/>
          <w14:textFill>
            <w14:solidFill>
              <w14:schemeClr w14:val="tx1"/>
            </w14:solidFill>
          </w14:textFill>
        </w:rPr>
        <w:t>。</w:t>
      </w:r>
    </w:p>
    <w:p w14:paraId="73428D2E">
      <w:pPr>
        <w:pStyle w:val="109"/>
        <w:spacing w:before="156" w:after="156"/>
      </w:pPr>
      <w:bookmarkStart w:id="189" w:name="_Toc163649523"/>
      <w:bookmarkStart w:id="190" w:name="_Toc163652189"/>
      <w:bookmarkStart w:id="191" w:name="_Toc163652119"/>
      <w:bookmarkStart w:id="192" w:name="_Toc163652612"/>
      <w:bookmarkStart w:id="193" w:name="_Toc163652553"/>
      <w:bookmarkStart w:id="194" w:name="_Toc163651679"/>
      <w:bookmarkStart w:id="195" w:name="_Toc163652433"/>
      <w:bookmarkStart w:id="196" w:name="_Toc163652493"/>
      <w:bookmarkStart w:id="197" w:name="_Toc163649754"/>
      <w:bookmarkStart w:id="198" w:name="_Toc163652008"/>
      <w:r>
        <w:rPr>
          <w:rFonts w:hint="eastAsia"/>
        </w:rPr>
        <w:t>调查人员</w:t>
      </w:r>
      <w:bookmarkEnd w:id="189"/>
      <w:bookmarkEnd w:id="190"/>
      <w:bookmarkEnd w:id="191"/>
      <w:bookmarkEnd w:id="192"/>
      <w:bookmarkEnd w:id="193"/>
      <w:bookmarkEnd w:id="194"/>
      <w:bookmarkEnd w:id="195"/>
      <w:bookmarkEnd w:id="196"/>
      <w:bookmarkEnd w:id="197"/>
      <w:bookmarkEnd w:id="198"/>
    </w:p>
    <w:p w14:paraId="0C24731C">
      <w:pPr>
        <w:pStyle w:val="169"/>
      </w:pPr>
      <w:bookmarkStart w:id="199" w:name="_Toc163649755"/>
      <w:bookmarkStart w:id="200" w:name="_Toc163652190"/>
      <w:bookmarkStart w:id="201" w:name="_Toc163652494"/>
      <w:bookmarkStart w:id="202" w:name="_Toc163651680"/>
      <w:bookmarkStart w:id="203" w:name="_Toc163652554"/>
      <w:bookmarkStart w:id="204" w:name="_Toc163652009"/>
      <w:bookmarkStart w:id="205" w:name="_Toc163652120"/>
      <w:bookmarkStart w:id="206" w:name="_Toc163652434"/>
      <w:bookmarkStart w:id="207" w:name="_Toc163649524"/>
      <w:r>
        <w:rPr>
          <w:rFonts w:hint="eastAsia"/>
        </w:rPr>
        <w:t>调查机构中从事职业卫生、放射卫生、工程防护等相关技术工作者组成调查人员。</w:t>
      </w:r>
      <w:bookmarkEnd w:id="199"/>
      <w:bookmarkEnd w:id="200"/>
      <w:bookmarkEnd w:id="201"/>
      <w:bookmarkEnd w:id="202"/>
      <w:bookmarkEnd w:id="203"/>
      <w:bookmarkEnd w:id="204"/>
      <w:bookmarkEnd w:id="205"/>
      <w:bookmarkEnd w:id="206"/>
      <w:bookmarkEnd w:id="207"/>
    </w:p>
    <w:p w14:paraId="72D57CF4">
      <w:pPr>
        <w:pStyle w:val="169"/>
      </w:pPr>
      <w:bookmarkStart w:id="208" w:name="_Toc163652121"/>
      <w:bookmarkStart w:id="209" w:name="_Toc163652555"/>
      <w:bookmarkStart w:id="210" w:name="_Toc163652495"/>
      <w:bookmarkStart w:id="211" w:name="_Toc163652435"/>
      <w:bookmarkStart w:id="212" w:name="_Toc163649756"/>
      <w:bookmarkStart w:id="213" w:name="_Toc163652191"/>
      <w:bookmarkStart w:id="214" w:name="_Toc163652010"/>
      <w:bookmarkStart w:id="215" w:name="_Toc163649525"/>
      <w:bookmarkStart w:id="216" w:name="_Toc163651681"/>
      <w:r>
        <w:rPr>
          <w:rFonts w:hint="eastAsia"/>
        </w:rPr>
        <w:t>调查人员不少于</w:t>
      </w:r>
      <w:r>
        <w:t>2</w:t>
      </w:r>
      <w:r>
        <w:rPr>
          <w:rFonts w:hint="eastAsia"/>
        </w:rPr>
        <w:t>人，其中至少一人具备中级及以上专业技术职称，且从事相关工作三年及以上。</w:t>
      </w:r>
      <w:bookmarkEnd w:id="208"/>
      <w:bookmarkEnd w:id="209"/>
      <w:bookmarkEnd w:id="210"/>
      <w:bookmarkEnd w:id="211"/>
      <w:bookmarkEnd w:id="212"/>
      <w:bookmarkEnd w:id="213"/>
      <w:bookmarkEnd w:id="214"/>
      <w:bookmarkEnd w:id="215"/>
      <w:bookmarkEnd w:id="216"/>
    </w:p>
    <w:p w14:paraId="35A0B89E">
      <w:pPr>
        <w:pStyle w:val="109"/>
        <w:spacing w:before="156" w:after="156"/>
      </w:pPr>
      <w:bookmarkStart w:id="217" w:name="_Toc163652011"/>
      <w:bookmarkStart w:id="218" w:name="_Toc163649757"/>
      <w:bookmarkStart w:id="219" w:name="_Toc163652436"/>
      <w:bookmarkStart w:id="220" w:name="_Toc163652496"/>
      <w:bookmarkStart w:id="221" w:name="_Toc163652192"/>
      <w:bookmarkStart w:id="222" w:name="_Toc163649526"/>
      <w:bookmarkStart w:id="223" w:name="_Toc163652556"/>
      <w:bookmarkStart w:id="224" w:name="_Toc163651682"/>
      <w:bookmarkStart w:id="225" w:name="_Toc163652613"/>
      <w:bookmarkStart w:id="226" w:name="_Toc163652122"/>
      <w:r>
        <w:rPr>
          <w:rFonts w:hint="eastAsia"/>
        </w:rPr>
        <w:t>调查内容</w:t>
      </w:r>
      <w:bookmarkEnd w:id="217"/>
      <w:bookmarkEnd w:id="218"/>
      <w:bookmarkEnd w:id="219"/>
      <w:bookmarkEnd w:id="220"/>
      <w:bookmarkEnd w:id="221"/>
      <w:bookmarkEnd w:id="222"/>
      <w:bookmarkEnd w:id="223"/>
      <w:bookmarkEnd w:id="224"/>
      <w:bookmarkEnd w:id="225"/>
      <w:bookmarkEnd w:id="226"/>
    </w:p>
    <w:p w14:paraId="546B1185">
      <w:pPr>
        <w:pStyle w:val="60"/>
        <w:ind w:firstLine="420"/>
      </w:pPr>
      <w:r>
        <w:rPr>
          <w:rFonts w:hint="eastAsia" w:ascii="Calibri" w:hAnsi="Calibri"/>
          <w:color w:val="000000"/>
          <w:kern w:val="2"/>
          <w:szCs w:val="21"/>
        </w:rPr>
        <w:t>现场调查用人单位基本信息、职业病危害因素种类及接触情况等内容，填写《职业病危害现状调查表》（参见附录</w:t>
      </w:r>
      <w:r>
        <w:rPr>
          <w:rFonts w:ascii="Calibri" w:hAnsi="Calibri"/>
          <w:color w:val="000000"/>
          <w:kern w:val="2"/>
          <w:szCs w:val="21"/>
        </w:rPr>
        <w:t>A</w:t>
      </w:r>
      <w:r>
        <w:rPr>
          <w:rFonts w:hint="eastAsia" w:ascii="Calibri" w:hAnsi="Calibri"/>
          <w:color w:val="000000"/>
          <w:kern w:val="2"/>
          <w:szCs w:val="21"/>
        </w:rPr>
        <w:t>）和《帮扶前小微企业职业健康管理情况登记表》（参见附录</w:t>
      </w:r>
      <w:r>
        <w:rPr>
          <w:rFonts w:ascii="Calibri" w:hAnsi="Calibri"/>
          <w:color w:val="000000"/>
          <w:kern w:val="2"/>
          <w:szCs w:val="21"/>
        </w:rPr>
        <w:t>B</w:t>
      </w:r>
      <w:r>
        <w:rPr>
          <w:rFonts w:hint="eastAsia" w:ascii="Calibri" w:hAnsi="Calibri"/>
          <w:color w:val="000000"/>
          <w:kern w:val="2"/>
          <w:szCs w:val="21"/>
        </w:rPr>
        <w:t>）。</w:t>
      </w:r>
    </w:p>
    <w:p w14:paraId="7F942B90">
      <w:pPr>
        <w:pStyle w:val="108"/>
        <w:spacing w:before="312" w:after="312"/>
      </w:pPr>
      <w:bookmarkStart w:id="227" w:name="_Toc163652614"/>
      <w:bookmarkStart w:id="228" w:name="_Toc163649527"/>
      <w:bookmarkStart w:id="229" w:name="_Toc163649758"/>
      <w:bookmarkStart w:id="230" w:name="_Toc163652497"/>
      <w:bookmarkStart w:id="231" w:name="_Toc163652012"/>
      <w:bookmarkStart w:id="232" w:name="_Toc163652437"/>
      <w:bookmarkStart w:id="233" w:name="_Toc163651683"/>
      <w:bookmarkStart w:id="234" w:name="_Toc163652193"/>
      <w:bookmarkStart w:id="235" w:name="_Toc163652123"/>
      <w:bookmarkStart w:id="236" w:name="_Toc163652557"/>
      <w:r>
        <w:rPr>
          <w:rFonts w:hint="eastAsia"/>
        </w:rPr>
        <w:t>帮扶措施</w:t>
      </w:r>
      <w:bookmarkEnd w:id="227"/>
      <w:bookmarkEnd w:id="228"/>
      <w:bookmarkEnd w:id="229"/>
      <w:bookmarkEnd w:id="230"/>
      <w:bookmarkEnd w:id="231"/>
      <w:bookmarkEnd w:id="232"/>
      <w:bookmarkEnd w:id="233"/>
      <w:bookmarkEnd w:id="234"/>
      <w:bookmarkEnd w:id="235"/>
      <w:bookmarkEnd w:id="236"/>
    </w:p>
    <w:p w14:paraId="00F77635">
      <w:pPr>
        <w:pStyle w:val="166"/>
      </w:pPr>
      <w:bookmarkStart w:id="237" w:name="_Toc163651684"/>
      <w:bookmarkStart w:id="238" w:name="_Toc163652558"/>
      <w:bookmarkStart w:id="239" w:name="_Toc163652124"/>
      <w:bookmarkStart w:id="240" w:name="_Toc163652498"/>
      <w:bookmarkStart w:id="241" w:name="_Toc163652615"/>
      <w:bookmarkStart w:id="242" w:name="_Toc163649528"/>
      <w:bookmarkStart w:id="243" w:name="_Toc163649759"/>
      <w:bookmarkStart w:id="244" w:name="_Toc163652013"/>
      <w:bookmarkStart w:id="245" w:name="_Toc163652194"/>
      <w:bookmarkStart w:id="246" w:name="_Toc163652438"/>
      <w:r>
        <w:rPr>
          <w:rFonts w:hint="eastAsia"/>
        </w:rPr>
        <w:t>职业健康管理主要事项书面告知</w:t>
      </w:r>
      <w:r>
        <w:rPr>
          <w:rFonts w:hint="eastAsia"/>
          <w:lang w:eastAsia="zh-CN"/>
        </w:rPr>
        <w:t>，</w:t>
      </w:r>
      <w:r>
        <w:rPr>
          <w:rFonts w:hint="eastAsia"/>
        </w:rPr>
        <w:t>建立、健全职业卫生管理制度和操作规程。</w:t>
      </w:r>
      <w:bookmarkEnd w:id="237"/>
      <w:bookmarkEnd w:id="238"/>
      <w:bookmarkEnd w:id="239"/>
      <w:bookmarkEnd w:id="240"/>
      <w:bookmarkEnd w:id="241"/>
      <w:bookmarkEnd w:id="242"/>
      <w:bookmarkEnd w:id="243"/>
      <w:bookmarkEnd w:id="244"/>
      <w:bookmarkEnd w:id="245"/>
      <w:bookmarkEnd w:id="246"/>
    </w:p>
    <w:p w14:paraId="606697DA">
      <w:pPr>
        <w:pStyle w:val="166"/>
      </w:pPr>
      <w:bookmarkStart w:id="247" w:name="_Toc163651685"/>
      <w:bookmarkStart w:id="248" w:name="_Toc163652499"/>
      <w:bookmarkStart w:id="249" w:name="_Toc163652439"/>
      <w:bookmarkStart w:id="250" w:name="_Toc163649529"/>
      <w:bookmarkStart w:id="251" w:name="_Toc163652616"/>
      <w:bookmarkStart w:id="252" w:name="_Toc163652014"/>
      <w:bookmarkStart w:id="253" w:name="_Toc163649760"/>
      <w:bookmarkStart w:id="254" w:name="_Toc163652195"/>
      <w:bookmarkStart w:id="255" w:name="_Toc163652125"/>
      <w:bookmarkStart w:id="256" w:name="_Toc163652559"/>
      <w:r>
        <w:rPr>
          <w:rFonts w:hint="eastAsia"/>
        </w:rPr>
        <w:t>指导小微企业辨识职业病危害因素，排查职业健康管理过程中的薄弱环节，制订职业健康帮扶整改方案。</w:t>
      </w:r>
      <w:bookmarkEnd w:id="247"/>
      <w:bookmarkEnd w:id="248"/>
      <w:bookmarkEnd w:id="249"/>
      <w:bookmarkEnd w:id="250"/>
      <w:bookmarkEnd w:id="251"/>
      <w:bookmarkEnd w:id="252"/>
      <w:bookmarkEnd w:id="253"/>
      <w:bookmarkEnd w:id="254"/>
      <w:bookmarkEnd w:id="255"/>
      <w:bookmarkEnd w:id="256"/>
    </w:p>
    <w:p w14:paraId="47267C1C">
      <w:pPr>
        <w:pStyle w:val="166"/>
      </w:pPr>
      <w:bookmarkStart w:id="257" w:name="_Toc163652440"/>
      <w:bookmarkStart w:id="258" w:name="_Toc163652500"/>
      <w:bookmarkStart w:id="259" w:name="_Toc163652015"/>
      <w:bookmarkStart w:id="260" w:name="_Toc163652617"/>
      <w:bookmarkStart w:id="261" w:name="_Toc163649530"/>
      <w:bookmarkStart w:id="262" w:name="_Toc163651686"/>
      <w:bookmarkStart w:id="263" w:name="_Toc163649761"/>
      <w:bookmarkStart w:id="264" w:name="_Toc163652196"/>
      <w:bookmarkStart w:id="265" w:name="_Toc163652126"/>
      <w:bookmarkStart w:id="266" w:name="_Toc163652560"/>
      <w:r>
        <w:rPr>
          <w:rFonts w:hint="eastAsia"/>
        </w:rPr>
        <w:t>开展职业病危害因素检测，并出具定期检测报告</w:t>
      </w:r>
      <w:r>
        <w:rPr>
          <w:rFonts w:hint="eastAsia"/>
          <w:lang w:val="en-US" w:eastAsia="zh-CN"/>
        </w:rPr>
        <w:t>或日常监测</w:t>
      </w:r>
      <w:r>
        <w:rPr>
          <w:rFonts w:hint="eastAsia"/>
        </w:rPr>
        <w:t>报告。</w:t>
      </w:r>
      <w:bookmarkEnd w:id="257"/>
      <w:bookmarkEnd w:id="258"/>
      <w:bookmarkEnd w:id="259"/>
      <w:bookmarkEnd w:id="260"/>
      <w:bookmarkEnd w:id="261"/>
      <w:bookmarkEnd w:id="262"/>
      <w:bookmarkEnd w:id="263"/>
      <w:bookmarkEnd w:id="264"/>
      <w:bookmarkEnd w:id="265"/>
      <w:bookmarkEnd w:id="266"/>
    </w:p>
    <w:p w14:paraId="036DCA61">
      <w:pPr>
        <w:pStyle w:val="166"/>
      </w:pPr>
      <w:bookmarkStart w:id="267" w:name="_Toc163652618"/>
      <w:bookmarkStart w:id="268" w:name="_Toc163649531"/>
      <w:bookmarkStart w:id="269" w:name="_Toc163651687"/>
      <w:bookmarkStart w:id="270" w:name="_Toc163652127"/>
      <w:bookmarkStart w:id="271" w:name="_Toc163652441"/>
      <w:bookmarkStart w:id="272" w:name="_Toc163652016"/>
      <w:bookmarkStart w:id="273" w:name="_Toc163652501"/>
      <w:bookmarkStart w:id="274" w:name="_Toc163652561"/>
      <w:bookmarkStart w:id="275" w:name="_Toc163652197"/>
      <w:bookmarkStart w:id="276" w:name="_Toc163649762"/>
      <w:r>
        <w:rPr>
          <w:rFonts w:hint="eastAsia"/>
        </w:rPr>
        <w:t>组织企业主要负责人及职业卫生管理人员参加培训，开展职业健康宣传，主要包括职业卫生法律法规、职业病危害预防和控制基础理论、职业卫生管理等内容。</w:t>
      </w:r>
      <w:bookmarkEnd w:id="267"/>
      <w:bookmarkEnd w:id="268"/>
      <w:bookmarkEnd w:id="269"/>
      <w:bookmarkEnd w:id="270"/>
      <w:bookmarkEnd w:id="271"/>
      <w:bookmarkEnd w:id="272"/>
      <w:bookmarkEnd w:id="273"/>
      <w:bookmarkEnd w:id="274"/>
      <w:bookmarkEnd w:id="275"/>
      <w:bookmarkEnd w:id="276"/>
    </w:p>
    <w:p w14:paraId="691B360F">
      <w:pPr>
        <w:pStyle w:val="166"/>
      </w:pPr>
      <w:bookmarkStart w:id="277" w:name="_Toc163652444"/>
      <w:bookmarkStart w:id="278" w:name="_Toc163649765"/>
      <w:bookmarkStart w:id="279" w:name="_Toc163652504"/>
      <w:bookmarkStart w:id="280" w:name="_Toc163649534"/>
      <w:bookmarkStart w:id="281" w:name="_Toc163652130"/>
      <w:bookmarkStart w:id="282" w:name="_Toc163652621"/>
      <w:bookmarkStart w:id="283" w:name="_Toc163651690"/>
      <w:bookmarkStart w:id="284" w:name="_Toc163652019"/>
      <w:bookmarkStart w:id="285" w:name="_Toc163652200"/>
      <w:bookmarkStart w:id="286" w:name="_Toc163652564"/>
      <w:r>
        <w:rPr>
          <w:rFonts w:hint="eastAsia"/>
        </w:rPr>
        <w:t>记录职业健康管理改善情况，评估整改效果，填写《帮扶后小微企业职业健康管理情况登记表》</w:t>
      </w:r>
      <w:bookmarkStart w:id="287" w:name="OLE_LINK12"/>
      <w:bookmarkStart w:id="288" w:name="OLE_LINK13"/>
      <w:r>
        <w:rPr>
          <w:rFonts w:hint="eastAsia"/>
        </w:rPr>
        <w:t>（参见附录</w:t>
      </w:r>
      <w:r>
        <w:t>B</w:t>
      </w:r>
      <w:r>
        <w:rPr>
          <w:rFonts w:hint="eastAsia"/>
        </w:rPr>
        <w:t>）。</w:t>
      </w:r>
      <w:bookmarkEnd w:id="277"/>
      <w:bookmarkEnd w:id="278"/>
      <w:bookmarkEnd w:id="279"/>
      <w:bookmarkEnd w:id="280"/>
      <w:bookmarkEnd w:id="281"/>
      <w:bookmarkEnd w:id="282"/>
      <w:bookmarkEnd w:id="283"/>
      <w:bookmarkEnd w:id="284"/>
      <w:bookmarkEnd w:id="285"/>
      <w:bookmarkEnd w:id="286"/>
      <w:bookmarkEnd w:id="287"/>
      <w:bookmarkEnd w:id="288"/>
    </w:p>
    <w:p w14:paraId="2F9F2EC1">
      <w:pPr>
        <w:pStyle w:val="166"/>
      </w:pPr>
      <w:bookmarkStart w:id="289" w:name="_Toc163652198"/>
      <w:bookmarkStart w:id="290" w:name="_Toc163652017"/>
      <w:bookmarkStart w:id="291" w:name="_Toc163652442"/>
      <w:bookmarkStart w:id="292" w:name="_Toc163652619"/>
      <w:bookmarkStart w:id="293" w:name="_Toc163649532"/>
      <w:bookmarkStart w:id="294" w:name="_Toc163652502"/>
      <w:bookmarkStart w:id="295" w:name="_Toc163652128"/>
      <w:bookmarkStart w:id="296" w:name="_Toc163652562"/>
      <w:bookmarkStart w:id="297" w:name="_Toc163651688"/>
      <w:bookmarkStart w:id="298" w:name="_Toc163649763"/>
      <w:r>
        <w:rPr>
          <w:rFonts w:hint="eastAsia"/>
        </w:rPr>
        <w:t>建立小微企业联系人制度。通过电话、短信、微信、邮件等形式，跟踪企业整改情况，回应企业帮扶需求，帮扶周期内现场指导频次不低于</w:t>
      </w:r>
      <w:r>
        <w:t>2</w:t>
      </w:r>
      <w:r>
        <w:rPr>
          <w:rFonts w:hint="eastAsia"/>
        </w:rPr>
        <w:t>次。</w:t>
      </w:r>
      <w:bookmarkEnd w:id="289"/>
      <w:bookmarkEnd w:id="290"/>
      <w:bookmarkEnd w:id="291"/>
      <w:bookmarkEnd w:id="292"/>
      <w:bookmarkEnd w:id="293"/>
      <w:bookmarkEnd w:id="294"/>
      <w:bookmarkEnd w:id="295"/>
      <w:bookmarkEnd w:id="296"/>
      <w:bookmarkEnd w:id="297"/>
      <w:bookmarkEnd w:id="298"/>
    </w:p>
    <w:p w14:paraId="25A3BF58">
      <w:pPr>
        <w:pStyle w:val="108"/>
        <w:spacing w:before="312" w:after="312"/>
      </w:pPr>
      <w:bookmarkStart w:id="299" w:name="_Toc163649766"/>
      <w:bookmarkStart w:id="300" w:name="_Toc163652505"/>
      <w:bookmarkStart w:id="301" w:name="_Toc163651691"/>
      <w:bookmarkStart w:id="302" w:name="_Toc163652020"/>
      <w:bookmarkStart w:id="303" w:name="_Toc163652622"/>
      <w:bookmarkStart w:id="304" w:name="_Toc163652565"/>
      <w:bookmarkStart w:id="305" w:name="_Toc163652445"/>
      <w:bookmarkStart w:id="306" w:name="_Toc163652201"/>
      <w:bookmarkStart w:id="307" w:name="_Toc163652131"/>
      <w:bookmarkStart w:id="308" w:name="_Toc163649535"/>
      <w:r>
        <w:rPr>
          <w:rFonts w:hint="eastAsia"/>
        </w:rPr>
        <w:t>帮扶效果评估</w:t>
      </w:r>
      <w:bookmarkEnd w:id="299"/>
      <w:bookmarkEnd w:id="300"/>
      <w:bookmarkEnd w:id="301"/>
      <w:bookmarkEnd w:id="302"/>
      <w:bookmarkEnd w:id="303"/>
      <w:bookmarkEnd w:id="304"/>
      <w:bookmarkEnd w:id="305"/>
      <w:bookmarkEnd w:id="306"/>
      <w:bookmarkEnd w:id="307"/>
      <w:bookmarkEnd w:id="308"/>
    </w:p>
    <w:p w14:paraId="020F3E7F">
      <w:pPr>
        <w:pStyle w:val="109"/>
        <w:spacing w:before="156" w:after="156"/>
      </w:pPr>
      <w:bookmarkStart w:id="309" w:name="_Toc163652506"/>
      <w:bookmarkStart w:id="310" w:name="_Toc163652132"/>
      <w:bookmarkStart w:id="311" w:name="_Toc163652566"/>
      <w:bookmarkStart w:id="312" w:name="_Toc163649536"/>
      <w:bookmarkStart w:id="313" w:name="_Toc163652446"/>
      <w:bookmarkStart w:id="314" w:name="_Toc163652623"/>
      <w:bookmarkStart w:id="315" w:name="_Toc163651692"/>
      <w:bookmarkStart w:id="316" w:name="_Toc163649767"/>
      <w:bookmarkStart w:id="317" w:name="_Toc163652202"/>
      <w:bookmarkStart w:id="318" w:name="_Toc163652021"/>
      <w:r>
        <w:rPr>
          <w:rFonts w:hint="eastAsia"/>
        </w:rPr>
        <w:t>评估原则</w:t>
      </w:r>
      <w:bookmarkEnd w:id="309"/>
      <w:bookmarkEnd w:id="310"/>
      <w:bookmarkEnd w:id="311"/>
      <w:bookmarkEnd w:id="312"/>
      <w:bookmarkEnd w:id="313"/>
      <w:bookmarkEnd w:id="314"/>
      <w:bookmarkEnd w:id="315"/>
      <w:bookmarkEnd w:id="316"/>
      <w:bookmarkEnd w:id="317"/>
      <w:bookmarkEnd w:id="318"/>
    </w:p>
    <w:p w14:paraId="43D04DA6">
      <w:pPr>
        <w:pStyle w:val="169"/>
        <w:numPr>
          <w:ilvl w:val="0"/>
          <w:numId w:val="0"/>
        </w:numPr>
        <w:rPr>
          <w:color w:val="000000" w:themeColor="text1"/>
          <w14:textFill>
            <w14:solidFill>
              <w14:schemeClr w14:val="tx1"/>
            </w14:solidFill>
          </w14:textFill>
        </w:rPr>
      </w:pPr>
      <w:r>
        <w:rPr>
          <w:rFonts w:hint="eastAsia" w:ascii="黑体" w:eastAsia="黑体"/>
        </w:rPr>
        <w:t>8</w:t>
      </w:r>
      <w:r>
        <w:rPr>
          <w:rFonts w:ascii="黑体" w:eastAsia="黑体"/>
        </w:rPr>
        <w:t xml:space="preserve">.1.1 </w:t>
      </w:r>
      <w:r>
        <w:rPr>
          <w:rFonts w:hint="eastAsia"/>
          <w:color w:val="000000" w:themeColor="text1"/>
          <w14:textFill>
            <w14:solidFill>
              <w14:schemeClr w14:val="tx1"/>
            </w14:solidFill>
          </w14:textFill>
        </w:rPr>
        <w:t>评估过程应遵循客观公正、真实全面的原则。</w:t>
      </w:r>
    </w:p>
    <w:p w14:paraId="1180346B">
      <w:pPr>
        <w:pStyle w:val="169"/>
        <w:numPr>
          <w:ilvl w:val="0"/>
          <w:numId w:val="0"/>
        </w:numPr>
        <w:rPr>
          <w:color w:val="000000" w:themeColor="text1"/>
          <w14:textFill>
            <w14:solidFill>
              <w14:schemeClr w14:val="tx1"/>
            </w14:solidFill>
          </w14:textFill>
        </w:rPr>
      </w:pPr>
      <w:r>
        <w:rPr>
          <w:rFonts w:hint="eastAsia" w:ascii="黑体" w:eastAsia="黑体"/>
        </w:rPr>
        <w:t>8</w:t>
      </w:r>
      <w:r>
        <w:rPr>
          <w:rFonts w:ascii="黑体" w:eastAsia="黑体"/>
        </w:rPr>
        <w:t xml:space="preserve">.1.2 </w:t>
      </w:r>
      <w:r>
        <w:rPr>
          <w:rFonts w:hint="eastAsia"/>
          <w:color w:val="000000" w:themeColor="text1"/>
          <w14:textFill>
            <w14:solidFill>
              <w14:schemeClr w14:val="tx1"/>
            </w14:solidFill>
          </w14:textFill>
        </w:rPr>
        <w:t>评估结论应遵循科学性、可靠性，兼顾企业重大技术改造成本合理性原则。</w:t>
      </w:r>
    </w:p>
    <w:p w14:paraId="2F7DDC58">
      <w:pPr>
        <w:pStyle w:val="109"/>
        <w:spacing w:before="156" w:after="156"/>
      </w:pPr>
      <w:bookmarkStart w:id="319" w:name="_Toc163652133"/>
      <w:bookmarkStart w:id="320" w:name="_Toc163651693"/>
      <w:bookmarkStart w:id="321" w:name="_Toc163652022"/>
      <w:bookmarkStart w:id="322" w:name="_Toc163649537"/>
      <w:bookmarkStart w:id="323" w:name="_Toc163649768"/>
      <w:bookmarkStart w:id="324" w:name="_Toc163652507"/>
      <w:bookmarkStart w:id="325" w:name="_Toc163652567"/>
      <w:bookmarkStart w:id="326" w:name="_Toc163652203"/>
      <w:bookmarkStart w:id="327" w:name="_Toc163652447"/>
      <w:bookmarkStart w:id="328" w:name="_Toc163652624"/>
      <w:r>
        <w:rPr>
          <w:rFonts w:hint="eastAsia"/>
        </w:rPr>
        <w:t>评估指标</w:t>
      </w:r>
      <w:bookmarkEnd w:id="319"/>
      <w:bookmarkEnd w:id="320"/>
      <w:bookmarkEnd w:id="321"/>
      <w:bookmarkEnd w:id="322"/>
      <w:bookmarkEnd w:id="323"/>
      <w:bookmarkEnd w:id="324"/>
      <w:bookmarkEnd w:id="325"/>
      <w:bookmarkEnd w:id="326"/>
      <w:bookmarkEnd w:id="327"/>
      <w:bookmarkEnd w:id="328"/>
    </w:p>
    <w:p w14:paraId="421AF76E">
      <w:pPr>
        <w:pStyle w:val="60"/>
        <w:ind w:firstLine="420"/>
        <w:rPr>
          <w:rFonts w:ascii="Calibri" w:hAnsi="Calibri"/>
          <w:color w:val="000000"/>
          <w:kern w:val="2"/>
          <w:szCs w:val="21"/>
          <w:shd w:val="clear" w:color="auto" w:fill="FFFFFF"/>
        </w:rPr>
      </w:pPr>
      <w:bookmarkStart w:id="329" w:name="OLE_LINK11"/>
      <w:bookmarkStart w:id="330" w:name="OLE_LINK10"/>
      <w:r>
        <w:rPr>
          <w:rFonts w:hint="eastAsia" w:ascii="Calibri" w:hAnsi="Calibri"/>
          <w:color w:val="000000"/>
          <w:kern w:val="2"/>
          <w:szCs w:val="21"/>
          <w:shd w:val="clear" w:color="auto" w:fill="FFFFFF"/>
        </w:rPr>
        <w:t>管理机构部门、人员和经费，职业病危害项目（变更）申报，职业卫生管理制度和操作规程，职业健康培训，职业病防护设施及现场管理情况，职业病防护用品，应急救援，职业病危害告知，职业健康检查，人员安排，外委与外包，职业病防治改善情况等十二项评估指标</w:t>
      </w:r>
      <w:r>
        <w:rPr>
          <w:rFonts w:hint="eastAsia"/>
        </w:rPr>
        <w:t>（参见附录</w:t>
      </w:r>
      <w:r>
        <w:t>C</w:t>
      </w:r>
      <w:r>
        <w:rPr>
          <w:rFonts w:hint="eastAsia"/>
        </w:rPr>
        <w:t>）。</w:t>
      </w:r>
    </w:p>
    <w:bookmarkEnd w:id="329"/>
    <w:bookmarkEnd w:id="330"/>
    <w:p w14:paraId="3BC9B846">
      <w:pPr>
        <w:pStyle w:val="109"/>
        <w:spacing w:before="156" w:after="156"/>
      </w:pPr>
      <w:bookmarkStart w:id="331" w:name="_Toc163652217"/>
      <w:bookmarkStart w:id="332" w:name="_Toc163652036"/>
      <w:bookmarkStart w:id="333" w:name="_Toc163649551"/>
      <w:bookmarkStart w:id="334" w:name="_Toc163652580"/>
      <w:bookmarkStart w:id="335" w:name="_Toc163651707"/>
      <w:bookmarkStart w:id="336" w:name="_Toc163652461"/>
      <w:bookmarkStart w:id="337" w:name="_Toc163652521"/>
      <w:bookmarkStart w:id="338" w:name="_Toc163652147"/>
      <w:bookmarkStart w:id="339" w:name="_Toc163652625"/>
      <w:bookmarkStart w:id="340" w:name="_Toc163649782"/>
      <w:r>
        <w:rPr>
          <w:rFonts w:hint="eastAsia"/>
        </w:rPr>
        <w:t>评分标准</w:t>
      </w:r>
      <w:bookmarkEnd w:id="331"/>
      <w:bookmarkEnd w:id="332"/>
      <w:bookmarkEnd w:id="333"/>
      <w:bookmarkEnd w:id="334"/>
      <w:bookmarkEnd w:id="335"/>
      <w:bookmarkEnd w:id="336"/>
      <w:bookmarkEnd w:id="337"/>
      <w:bookmarkEnd w:id="338"/>
      <w:bookmarkEnd w:id="339"/>
      <w:bookmarkEnd w:id="340"/>
    </w:p>
    <w:p w14:paraId="0D918335">
      <w:pPr>
        <w:pStyle w:val="234"/>
        <w:rPr>
          <w:color w:val="000000" w:themeColor="text1"/>
          <w14:textFill>
            <w14:solidFill>
              <w14:schemeClr w14:val="tx1"/>
            </w14:solidFill>
          </w14:textFill>
        </w:rPr>
      </w:pPr>
      <w:r>
        <w:rPr>
          <w:rFonts w:hint="eastAsia"/>
          <w:color w:val="000000" w:themeColor="text1"/>
          <w14:textFill>
            <w14:solidFill>
              <w14:schemeClr w14:val="tx1"/>
            </w14:solidFill>
          </w14:textFill>
        </w:rPr>
        <w:t>评估标准基础分100分，附加分10分。详见附录C。</w:t>
      </w:r>
    </w:p>
    <w:p w14:paraId="64B7E508">
      <w:pPr>
        <w:pStyle w:val="109"/>
        <w:spacing w:before="156" w:after="156"/>
      </w:pPr>
      <w:bookmarkStart w:id="341" w:name="_Toc163651708"/>
      <w:bookmarkStart w:id="342" w:name="_Toc163649552"/>
      <w:bookmarkStart w:id="343" w:name="_Toc163649783"/>
      <w:bookmarkStart w:id="344" w:name="_Toc163652626"/>
      <w:bookmarkStart w:id="345" w:name="_Toc163652462"/>
      <w:bookmarkStart w:id="346" w:name="_Toc163652037"/>
      <w:bookmarkStart w:id="347" w:name="_Toc163652218"/>
      <w:bookmarkStart w:id="348" w:name="_Toc163652522"/>
      <w:bookmarkStart w:id="349" w:name="_Toc163652148"/>
      <w:bookmarkStart w:id="350" w:name="_Toc163652581"/>
      <w:r>
        <w:rPr>
          <w:rFonts w:hint="eastAsia"/>
        </w:rPr>
        <w:t>评估流程</w:t>
      </w:r>
      <w:bookmarkEnd w:id="341"/>
      <w:bookmarkEnd w:id="342"/>
      <w:bookmarkEnd w:id="343"/>
      <w:bookmarkEnd w:id="344"/>
      <w:bookmarkEnd w:id="345"/>
      <w:bookmarkEnd w:id="346"/>
      <w:bookmarkEnd w:id="347"/>
      <w:bookmarkEnd w:id="348"/>
      <w:bookmarkEnd w:id="349"/>
      <w:bookmarkEnd w:id="350"/>
    </w:p>
    <w:p w14:paraId="2ECFFF78">
      <w:pPr>
        <w:pStyle w:val="69"/>
        <w:numPr>
          <w:ilvl w:val="0"/>
          <w:numId w:val="0"/>
        </w:numPr>
        <w:spacing w:before="156" w:after="156"/>
      </w:pPr>
      <w:bookmarkStart w:id="351" w:name="OLE_LINK15"/>
      <w:r>
        <w:rPr>
          <w:rFonts w:hint="eastAsia"/>
        </w:rPr>
        <w:t>8</w:t>
      </w:r>
      <w:r>
        <w:t>.4.1</w:t>
      </w:r>
      <w:r>
        <w:rPr>
          <w:rFonts w:hint="eastAsia"/>
        </w:rPr>
        <w:t>评估组织</w:t>
      </w:r>
    </w:p>
    <w:bookmarkEnd w:id="351"/>
    <w:p w14:paraId="0DC24276">
      <w:pPr>
        <w:pStyle w:val="60"/>
        <w:ind w:firstLine="420"/>
      </w:pPr>
      <w:r>
        <w:rPr>
          <w:rFonts w:hint="eastAsia"/>
        </w:rPr>
        <w:t>同</w:t>
      </w:r>
      <w:r>
        <w:t>5.1</w:t>
      </w:r>
      <w:r>
        <w:rPr>
          <w:rFonts w:hint="eastAsia"/>
        </w:rPr>
        <w:t>。</w:t>
      </w:r>
    </w:p>
    <w:p w14:paraId="052BFD39">
      <w:pPr>
        <w:pStyle w:val="69"/>
        <w:numPr>
          <w:ilvl w:val="0"/>
          <w:numId w:val="0"/>
        </w:numPr>
        <w:spacing w:before="156" w:after="156"/>
      </w:pPr>
      <w:bookmarkStart w:id="352" w:name="_Toc163652042"/>
      <w:bookmarkStart w:id="353" w:name="_Toc163651713"/>
      <w:bookmarkStart w:id="354" w:name="_Toc163652223"/>
      <w:bookmarkStart w:id="355" w:name="_Toc163652586"/>
      <w:bookmarkStart w:id="356" w:name="_Toc163649788"/>
      <w:bookmarkStart w:id="357" w:name="_Toc163652153"/>
      <w:bookmarkStart w:id="358" w:name="_Toc163649557"/>
      <w:bookmarkStart w:id="359" w:name="_Toc163652527"/>
      <w:bookmarkStart w:id="360" w:name="_Toc163652467"/>
      <w:r>
        <w:t>8.4.2</w:t>
      </w:r>
      <w:r>
        <w:rPr>
          <w:rFonts w:hint="eastAsia"/>
        </w:rPr>
        <w:t>评估方式</w:t>
      </w:r>
      <w:bookmarkEnd w:id="352"/>
      <w:bookmarkEnd w:id="353"/>
      <w:bookmarkEnd w:id="354"/>
      <w:bookmarkEnd w:id="355"/>
      <w:bookmarkEnd w:id="356"/>
      <w:bookmarkEnd w:id="357"/>
      <w:bookmarkEnd w:id="358"/>
      <w:bookmarkEnd w:id="359"/>
      <w:bookmarkEnd w:id="360"/>
    </w:p>
    <w:p w14:paraId="0D35D829">
      <w:pPr>
        <w:pStyle w:val="98"/>
        <w:numPr>
          <w:ilvl w:val="0"/>
          <w:numId w:val="0"/>
        </w:numPr>
        <w:spacing w:before="156" w:after="156"/>
      </w:pPr>
      <w:r>
        <w:t>8.4.2.1</w:t>
      </w:r>
      <w:r>
        <w:rPr>
          <w:rFonts w:hint="eastAsia" w:ascii="宋体" w:eastAsia="宋体"/>
          <w:color w:val="000000" w:themeColor="text1"/>
          <w14:textFill>
            <w14:solidFill>
              <w14:schemeClr w14:val="tx1"/>
            </w14:solidFill>
          </w14:textFill>
        </w:rPr>
        <w:t>询问：用人单位主要负责人、职业卫生管理人员及部分劳动者。</w:t>
      </w:r>
    </w:p>
    <w:p w14:paraId="7151020C">
      <w:pPr>
        <w:pStyle w:val="168"/>
        <w:numPr>
          <w:ilvl w:val="0"/>
          <w:numId w:val="0"/>
        </w:numPr>
        <w:rPr>
          <w:color w:val="000000" w:themeColor="text1"/>
          <w14:textFill>
            <w14:solidFill>
              <w14:schemeClr w14:val="tx1"/>
            </w14:solidFill>
          </w14:textFill>
        </w:rPr>
      </w:pPr>
      <w:r>
        <w:rPr>
          <w:rFonts w:ascii="黑体" w:eastAsia="黑体"/>
        </w:rPr>
        <w:t>8.4.2.2</w:t>
      </w:r>
      <w:r>
        <w:rPr>
          <w:rFonts w:hint="eastAsia"/>
          <w:color w:val="000000" w:themeColor="text1"/>
          <w14:textFill>
            <w14:solidFill>
              <w14:schemeClr w14:val="tx1"/>
            </w14:solidFill>
          </w14:textFill>
        </w:rPr>
        <w:t>查阅：劳动合同，职业健康检查、职业病危害因素检测及评价、职业病危害项目申报、职业卫生管理制度和操作规程等职业卫生相关资料。</w:t>
      </w:r>
    </w:p>
    <w:p w14:paraId="15A36E38">
      <w:pPr>
        <w:pStyle w:val="168"/>
        <w:numPr>
          <w:ilvl w:val="0"/>
          <w:numId w:val="0"/>
        </w:numPr>
        <w:rPr>
          <w:color w:val="000000" w:themeColor="text1"/>
          <w14:textFill>
            <w14:solidFill>
              <w14:schemeClr w14:val="tx1"/>
            </w14:solidFill>
          </w14:textFill>
        </w:rPr>
      </w:pPr>
      <w:r>
        <w:rPr>
          <w:rFonts w:hint="eastAsia" w:ascii="黑体" w:eastAsia="黑体"/>
        </w:rPr>
        <w:t>8</w:t>
      </w:r>
      <w:r>
        <w:rPr>
          <w:rFonts w:ascii="黑体" w:eastAsia="黑体"/>
        </w:rPr>
        <w:t>.4.2.3</w:t>
      </w:r>
      <w:r>
        <w:rPr>
          <w:rFonts w:hint="eastAsia"/>
          <w:color w:val="000000" w:themeColor="text1"/>
          <w14:textFill>
            <w14:solidFill>
              <w14:schemeClr w14:val="tx1"/>
            </w14:solidFill>
          </w14:textFill>
        </w:rPr>
        <w:t>现场勘查：依据本指南评估指标进行现场勘查。</w:t>
      </w:r>
    </w:p>
    <w:p w14:paraId="6BB9259B">
      <w:pPr>
        <w:pStyle w:val="109"/>
        <w:spacing w:before="156" w:after="156"/>
      </w:pPr>
      <w:bookmarkStart w:id="361" w:name="_Toc163652627"/>
      <w:bookmarkStart w:id="362" w:name="_Toc163651714"/>
      <w:bookmarkStart w:id="363" w:name="_Toc163652468"/>
      <w:bookmarkStart w:id="364" w:name="_Toc163652043"/>
      <w:bookmarkStart w:id="365" w:name="_Toc163652224"/>
      <w:bookmarkStart w:id="366" w:name="_Toc163649789"/>
      <w:bookmarkStart w:id="367" w:name="_Toc163649558"/>
      <w:bookmarkStart w:id="368" w:name="_Toc163652587"/>
      <w:bookmarkStart w:id="369" w:name="_Toc163652154"/>
      <w:bookmarkStart w:id="370" w:name="_Toc163652528"/>
      <w:r>
        <w:rPr>
          <w:rFonts w:hint="eastAsia"/>
        </w:rPr>
        <w:t>评估结果</w:t>
      </w:r>
      <w:bookmarkEnd w:id="361"/>
      <w:bookmarkEnd w:id="362"/>
      <w:bookmarkEnd w:id="363"/>
      <w:bookmarkEnd w:id="364"/>
      <w:bookmarkEnd w:id="365"/>
      <w:bookmarkEnd w:id="366"/>
      <w:bookmarkEnd w:id="367"/>
      <w:bookmarkEnd w:id="368"/>
      <w:bookmarkEnd w:id="369"/>
      <w:bookmarkEnd w:id="370"/>
    </w:p>
    <w:p w14:paraId="04F15A46">
      <w:pPr>
        <w:pStyle w:val="169"/>
        <w:numPr>
          <w:ilvl w:val="3"/>
          <w:numId w:val="0"/>
        </w:numPr>
        <w:rPr>
          <w:color w:val="000000" w:themeColor="text1"/>
          <w14:textFill>
            <w14:solidFill>
              <w14:schemeClr w14:val="tx1"/>
            </w14:solidFill>
          </w14:textFill>
        </w:rPr>
      </w:pPr>
      <w:r>
        <w:rPr>
          <w:rFonts w:hint="eastAsia" w:ascii="黑体" w:eastAsia="黑体"/>
        </w:rPr>
        <w:t xml:space="preserve">8.5.1 </w:t>
      </w:r>
      <w:r>
        <w:rPr>
          <w:rFonts w:hint="eastAsia"/>
          <w:color w:val="000000" w:themeColor="text1"/>
          <w14:textFill>
            <w14:solidFill>
              <w14:schemeClr w14:val="tx1"/>
            </w14:solidFill>
          </w14:textFill>
        </w:rPr>
        <w:t>职业健康帮扶效果评估结果分为显著进步企业、待提升企业、待整改企业三类。</w:t>
      </w:r>
    </w:p>
    <w:p w14:paraId="787C0C69">
      <w:pPr>
        <w:pStyle w:val="169"/>
        <w:numPr>
          <w:ilvl w:val="3"/>
          <w:numId w:val="0"/>
        </w:numPr>
        <w:rPr>
          <w:color w:val="000000" w:themeColor="text1"/>
          <w14:textFill>
            <w14:solidFill>
              <w14:schemeClr w14:val="tx1"/>
            </w14:solidFill>
          </w14:textFill>
        </w:rPr>
      </w:pPr>
      <w:r>
        <w:rPr>
          <w:rFonts w:hint="eastAsia" w:ascii="黑体" w:eastAsia="黑体"/>
        </w:rPr>
        <w:t>8.5.2</w:t>
      </w:r>
      <w:r>
        <w:rPr>
          <w:rFonts w:hint="eastAsia"/>
          <w:color w:val="000000" w:themeColor="text1"/>
          <w14:textFill>
            <w14:solidFill>
              <w14:schemeClr w14:val="tx1"/>
            </w14:solidFill>
          </w14:textFill>
        </w:rPr>
        <w:t xml:space="preserve"> 评估标准总分110分，评估得分</w:t>
      </w:r>
      <w:r>
        <w:rPr>
          <w:rFonts w:hint="eastAsia" w:hAnsi="宋体" w:cs="宋体"/>
          <w:color w:val="000000" w:themeColor="text1"/>
          <w14:textFill>
            <w14:solidFill>
              <w14:schemeClr w14:val="tx1"/>
            </w14:solidFill>
          </w14:textFill>
        </w:rPr>
        <w:t>≥</w:t>
      </w:r>
      <w:r>
        <w:rPr>
          <w:rFonts w:hint="eastAsia"/>
          <w:color w:val="000000" w:themeColor="text1"/>
          <w14:textFill>
            <w14:solidFill>
              <w14:schemeClr w14:val="tx1"/>
            </w14:solidFill>
          </w14:textFill>
        </w:rPr>
        <w:t>90 分，属于显著进步企业；评估得分</w:t>
      </w:r>
      <w:r>
        <w:rPr>
          <w:rFonts w:hint="eastAsia" w:hAnsi="宋体" w:cs="宋体"/>
          <w:color w:val="000000" w:themeColor="text1"/>
          <w14:textFill>
            <w14:solidFill>
              <w14:schemeClr w14:val="tx1"/>
            </w14:solidFill>
          </w14:textFill>
        </w:rPr>
        <w:t>≥</w:t>
      </w:r>
      <w:r>
        <w:rPr>
          <w:rFonts w:hint="eastAsia"/>
          <w:color w:val="000000" w:themeColor="text1"/>
          <w14:textFill>
            <w14:solidFill>
              <w14:schemeClr w14:val="tx1"/>
            </w14:solidFill>
          </w14:textFill>
        </w:rPr>
        <w:t>70 分</w:t>
      </w:r>
      <w:r>
        <w:rPr>
          <w:rFonts w:hint="eastAsia" w:hAnsi="宋体"/>
          <w:color w:val="000000" w:themeColor="text1"/>
          <w:szCs w:val="21"/>
          <w14:textFill>
            <w14:solidFill>
              <w14:schemeClr w14:val="tx1"/>
            </w14:solidFill>
          </w14:textFill>
        </w:rPr>
        <w:t>且＜</w:t>
      </w:r>
      <w:r>
        <w:rPr>
          <w:rFonts w:hint="eastAsia"/>
          <w:color w:val="000000" w:themeColor="text1"/>
          <w14:textFill>
            <w14:solidFill>
              <w14:schemeClr w14:val="tx1"/>
            </w14:solidFill>
          </w14:textFill>
        </w:rPr>
        <w:t>90分时，属于待提升企业，评估得分＜70分，属于待整改企业。</w:t>
      </w:r>
    </w:p>
    <w:p w14:paraId="20811D9E">
      <w:pPr>
        <w:pStyle w:val="108"/>
        <w:spacing w:before="312" w:after="312"/>
      </w:pPr>
      <w:bookmarkStart w:id="371" w:name="_Toc163652155"/>
      <w:bookmarkStart w:id="372" w:name="_Toc163652044"/>
      <w:bookmarkStart w:id="373" w:name="_Toc163649790"/>
      <w:bookmarkStart w:id="374" w:name="_Toc163652628"/>
      <w:bookmarkStart w:id="375" w:name="_Toc163652529"/>
      <w:bookmarkStart w:id="376" w:name="_Toc163651715"/>
      <w:bookmarkStart w:id="377" w:name="_Toc163652588"/>
      <w:bookmarkStart w:id="378" w:name="_Toc163652469"/>
      <w:bookmarkStart w:id="379" w:name="_Toc163649559"/>
      <w:bookmarkStart w:id="380" w:name="_Toc163652225"/>
      <w:r>
        <w:rPr>
          <w:rFonts w:hint="eastAsia"/>
        </w:rPr>
        <w:t>帮扶结果运用</w:t>
      </w:r>
      <w:bookmarkEnd w:id="371"/>
      <w:bookmarkEnd w:id="372"/>
      <w:bookmarkEnd w:id="373"/>
      <w:bookmarkEnd w:id="374"/>
      <w:bookmarkEnd w:id="375"/>
      <w:bookmarkEnd w:id="376"/>
      <w:bookmarkEnd w:id="377"/>
      <w:bookmarkEnd w:id="378"/>
      <w:bookmarkEnd w:id="379"/>
      <w:bookmarkEnd w:id="380"/>
    </w:p>
    <w:p w14:paraId="579D9D11">
      <w:pPr>
        <w:pStyle w:val="166"/>
      </w:pPr>
      <w:bookmarkStart w:id="381" w:name="OLE_LINK4"/>
      <w:bookmarkStart w:id="382" w:name="OLE_LINK3"/>
      <w:bookmarkStart w:id="383" w:name="_Toc163652156"/>
      <w:bookmarkStart w:id="384" w:name="_Toc163649791"/>
      <w:bookmarkStart w:id="385" w:name="_Toc163652629"/>
      <w:bookmarkStart w:id="386" w:name="_Toc163649560"/>
      <w:bookmarkStart w:id="387" w:name="_Toc163651716"/>
      <w:bookmarkStart w:id="388" w:name="_Toc163652470"/>
      <w:bookmarkStart w:id="389" w:name="_Toc163652530"/>
      <w:bookmarkStart w:id="390" w:name="_Toc163652589"/>
      <w:bookmarkStart w:id="391" w:name="_Toc163652045"/>
      <w:bookmarkStart w:id="392" w:name="_Toc163652226"/>
      <w:r>
        <w:rPr>
          <w:rFonts w:hint="eastAsia"/>
        </w:rPr>
        <w:t>完善职业健康档案资料</w:t>
      </w:r>
      <w:bookmarkEnd w:id="381"/>
      <w:bookmarkEnd w:id="382"/>
      <w:r>
        <w:rPr>
          <w:rFonts w:hint="eastAsia"/>
        </w:rPr>
        <w:t>，对评估后的各类企业实行分级动态管理。</w:t>
      </w:r>
      <w:bookmarkEnd w:id="383"/>
      <w:bookmarkEnd w:id="384"/>
      <w:bookmarkEnd w:id="385"/>
      <w:bookmarkEnd w:id="386"/>
      <w:bookmarkEnd w:id="387"/>
      <w:bookmarkEnd w:id="388"/>
      <w:bookmarkEnd w:id="389"/>
      <w:bookmarkEnd w:id="390"/>
      <w:bookmarkEnd w:id="391"/>
      <w:bookmarkEnd w:id="392"/>
    </w:p>
    <w:p w14:paraId="7A2814D6">
      <w:pPr>
        <w:pStyle w:val="166"/>
      </w:pPr>
      <w:bookmarkStart w:id="393" w:name="_Toc163649792"/>
      <w:bookmarkStart w:id="394" w:name="_Toc163649561"/>
      <w:bookmarkStart w:id="395" w:name="_Toc163652471"/>
      <w:bookmarkStart w:id="396" w:name="_Toc163652590"/>
      <w:bookmarkStart w:id="397" w:name="_Toc163651717"/>
      <w:bookmarkStart w:id="398" w:name="_Toc163652227"/>
      <w:bookmarkStart w:id="399" w:name="_Toc163652531"/>
      <w:bookmarkStart w:id="400" w:name="_Toc163652630"/>
      <w:bookmarkStart w:id="401" w:name="_Toc163652157"/>
      <w:bookmarkStart w:id="402" w:name="_Toc163652046"/>
      <w:r>
        <w:rPr>
          <w:rFonts w:hint="eastAsia"/>
        </w:rPr>
        <w:t>进一步细化、量化和优化帮扶工作过程，形成标准作业程序。</w:t>
      </w:r>
      <w:bookmarkEnd w:id="393"/>
      <w:bookmarkEnd w:id="394"/>
      <w:bookmarkEnd w:id="395"/>
      <w:bookmarkEnd w:id="396"/>
      <w:bookmarkEnd w:id="397"/>
      <w:bookmarkEnd w:id="398"/>
      <w:bookmarkEnd w:id="399"/>
      <w:bookmarkEnd w:id="400"/>
      <w:bookmarkEnd w:id="401"/>
      <w:bookmarkEnd w:id="402"/>
    </w:p>
    <w:p w14:paraId="25D1115B">
      <w:pPr>
        <w:pStyle w:val="166"/>
      </w:pPr>
      <w:bookmarkStart w:id="403" w:name="_Toc163652474"/>
      <w:bookmarkStart w:id="404" w:name="_Toc163651720"/>
      <w:bookmarkStart w:id="405" w:name="_Toc163652633"/>
      <w:bookmarkStart w:id="406" w:name="_Toc163649564"/>
      <w:bookmarkStart w:id="407" w:name="_Toc163652049"/>
      <w:bookmarkStart w:id="408" w:name="_Toc163652160"/>
      <w:bookmarkStart w:id="409" w:name="_Toc163652230"/>
      <w:bookmarkStart w:id="410" w:name="_Toc163652534"/>
      <w:bookmarkStart w:id="411" w:name="_Toc163652593"/>
      <w:bookmarkStart w:id="412" w:name="_Toc163649795"/>
      <w:r>
        <w:rPr>
          <w:rFonts w:hint="eastAsia"/>
        </w:rPr>
        <w:t>动态分析小微企业职业病危害及防治现状，评估职业人群健康变化趋势，为政府部门决策提供科学依据。</w:t>
      </w:r>
      <w:bookmarkEnd w:id="403"/>
      <w:bookmarkEnd w:id="404"/>
      <w:bookmarkEnd w:id="405"/>
      <w:bookmarkEnd w:id="406"/>
      <w:bookmarkEnd w:id="407"/>
      <w:bookmarkEnd w:id="408"/>
      <w:bookmarkEnd w:id="409"/>
      <w:bookmarkEnd w:id="410"/>
      <w:bookmarkEnd w:id="411"/>
      <w:bookmarkEnd w:id="412"/>
    </w:p>
    <w:p w14:paraId="677F6589">
      <w:pPr>
        <w:pStyle w:val="60"/>
        <w:ind w:firstLine="420"/>
      </w:pPr>
    </w:p>
    <w:p w14:paraId="522C2853">
      <w:pPr>
        <w:pStyle w:val="60"/>
        <w:ind w:firstLine="420"/>
      </w:pPr>
    </w:p>
    <w:p w14:paraId="37947D85">
      <w:pPr>
        <w:pStyle w:val="60"/>
        <w:ind w:firstLine="420"/>
      </w:pPr>
    </w:p>
    <w:p w14:paraId="11288E94">
      <w:pPr>
        <w:pStyle w:val="60"/>
        <w:ind w:firstLine="420"/>
      </w:pPr>
    </w:p>
    <w:p w14:paraId="79C5EF24">
      <w:pPr>
        <w:pStyle w:val="60"/>
        <w:ind w:firstLine="420"/>
      </w:pPr>
    </w:p>
    <w:p w14:paraId="270625D5">
      <w:pPr>
        <w:pStyle w:val="60"/>
        <w:ind w:firstLine="420"/>
      </w:pPr>
    </w:p>
    <w:p w14:paraId="31B1692D">
      <w:pPr>
        <w:pStyle w:val="60"/>
        <w:ind w:firstLine="420"/>
      </w:pPr>
    </w:p>
    <w:p w14:paraId="0E5C6588">
      <w:pPr>
        <w:pStyle w:val="60"/>
        <w:ind w:firstLine="420"/>
      </w:pPr>
    </w:p>
    <w:p w14:paraId="4A9EC98E">
      <w:pPr>
        <w:pStyle w:val="60"/>
        <w:ind w:firstLine="420"/>
      </w:pPr>
    </w:p>
    <w:p w14:paraId="2D466D62">
      <w:pPr>
        <w:pStyle w:val="60"/>
        <w:ind w:firstLine="420"/>
        <w:sectPr>
          <w:pgSz w:w="11906" w:h="16838"/>
          <w:pgMar w:top="1928" w:right="1134" w:bottom="1134" w:left="1134" w:header="1418" w:footer="1134" w:gutter="284"/>
          <w:pgNumType w:start="1"/>
          <w:cols w:space="425" w:num="1"/>
          <w:formProt w:val="0"/>
          <w:docGrid w:type="lines" w:linePitch="312" w:charSpace="0"/>
        </w:sectPr>
      </w:pPr>
    </w:p>
    <w:bookmarkEnd w:id="32"/>
    <w:p w14:paraId="71BBDFE3">
      <w:pPr>
        <w:pStyle w:val="202"/>
        <w:rPr>
          <w:vanish w:val="0"/>
        </w:rPr>
      </w:pPr>
      <w:bookmarkStart w:id="413" w:name="BookMark5"/>
    </w:p>
    <w:p w14:paraId="62468BB8">
      <w:pPr>
        <w:pStyle w:val="203"/>
        <w:rPr>
          <w:vanish w:val="0"/>
        </w:rPr>
      </w:pPr>
    </w:p>
    <w:p w14:paraId="59AC9307">
      <w:pPr>
        <w:pStyle w:val="80"/>
        <w:spacing w:after="156"/>
      </w:pPr>
      <w:r>
        <w:br w:type="textWrapping"/>
      </w:r>
      <w:bookmarkStart w:id="414" w:name="_Toc163652050"/>
      <w:bookmarkStart w:id="415" w:name="_Toc163652535"/>
      <w:bookmarkStart w:id="416" w:name="_Toc163652161"/>
      <w:bookmarkStart w:id="417" w:name="_Toc163652475"/>
      <w:bookmarkStart w:id="418" w:name="_Toc163651721"/>
      <w:bookmarkStart w:id="419" w:name="_Toc163652634"/>
      <w:bookmarkStart w:id="420" w:name="_Toc163652594"/>
      <w:bookmarkStart w:id="421" w:name="_Toc163652231"/>
      <w:r>
        <w:rPr>
          <w:rFonts w:hint="eastAsia"/>
        </w:rPr>
        <w:t>（资料性）</w:t>
      </w:r>
      <w:r>
        <w:br w:type="textWrapping"/>
      </w:r>
      <w:r>
        <w:rPr>
          <w:rFonts w:hint="eastAsia"/>
        </w:rPr>
        <w:t>职业病危害现状调查表</w:t>
      </w:r>
      <w:bookmarkEnd w:id="414"/>
      <w:bookmarkEnd w:id="415"/>
      <w:bookmarkEnd w:id="416"/>
      <w:bookmarkEnd w:id="417"/>
      <w:bookmarkEnd w:id="418"/>
      <w:bookmarkEnd w:id="419"/>
      <w:bookmarkEnd w:id="420"/>
      <w:bookmarkEnd w:id="421"/>
    </w:p>
    <w:p w14:paraId="514020FD">
      <w:pPr>
        <w:pStyle w:val="60"/>
        <w:ind w:firstLine="420"/>
      </w:pPr>
    </w:p>
    <w:p w14:paraId="0FC1A0EF">
      <w:pPr>
        <w:pStyle w:val="60"/>
        <w:ind w:firstLine="420"/>
      </w:pPr>
      <w:r>
        <w:rPr>
          <w:rFonts w:hint="eastAsia"/>
        </w:rPr>
        <w:t>职业病危害现状调查表，见表A</w:t>
      </w:r>
      <w:r>
        <w:t>.1</w:t>
      </w:r>
      <w:r>
        <w:rPr>
          <w:rFonts w:hint="eastAsia"/>
        </w:rPr>
        <w:t>。</w:t>
      </w:r>
    </w:p>
    <w:p w14:paraId="7ADA0FF1">
      <w:pPr>
        <w:pStyle w:val="60"/>
        <w:spacing w:before="156" w:beforeLines="50" w:after="156" w:afterLines="50"/>
        <w:ind w:firstLine="420"/>
        <w:jc w:val="center"/>
      </w:pPr>
      <w:r>
        <w:rPr>
          <w:rFonts w:hint="eastAsia" w:ascii="黑体" w:hAnsi="黑体" w:eastAsia="黑体" w:cs="黑体"/>
          <w:color w:val="000000" w:themeColor="text1"/>
          <w14:textFill>
            <w14:solidFill>
              <w14:schemeClr w14:val="tx1"/>
            </w14:solidFill>
          </w14:textFill>
        </w:rPr>
        <w:t>表A.1  职业病危害现状调查表</w:t>
      </w:r>
    </w:p>
    <w:tbl>
      <w:tblPr>
        <w:tblStyle w:val="29"/>
        <w:tblW w:w="10075" w:type="dxa"/>
        <w:jc w:val="center"/>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965"/>
        <w:gridCol w:w="1177"/>
        <w:gridCol w:w="2522"/>
        <w:gridCol w:w="1440"/>
        <w:gridCol w:w="853"/>
        <w:gridCol w:w="118"/>
        <w:gridCol w:w="759"/>
        <w:gridCol w:w="849"/>
        <w:gridCol w:w="51"/>
        <w:gridCol w:w="1341"/>
      </w:tblGrid>
      <w:tr w14:paraId="005FD514">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66" w:hRule="atLeast"/>
          <w:jc w:val="center"/>
        </w:trPr>
        <w:tc>
          <w:tcPr>
            <w:tcW w:w="965" w:type="dxa"/>
            <w:vAlign w:val="center"/>
          </w:tcPr>
          <w:p w14:paraId="31848DF9">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101</w:t>
            </w:r>
          </w:p>
        </w:tc>
        <w:tc>
          <w:tcPr>
            <w:tcW w:w="1177" w:type="dxa"/>
            <w:vAlign w:val="center"/>
          </w:tcPr>
          <w:p w14:paraId="1E95465D">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调查表编号</w:t>
            </w:r>
          </w:p>
        </w:tc>
        <w:tc>
          <w:tcPr>
            <w:tcW w:w="4815" w:type="dxa"/>
            <w:gridSpan w:val="3"/>
            <w:vAlign w:val="center"/>
          </w:tcPr>
          <w:p w14:paraId="172A556D">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w:t>
            </w:r>
          </w:p>
        </w:tc>
        <w:tc>
          <w:tcPr>
            <w:tcW w:w="877" w:type="dxa"/>
            <w:gridSpan w:val="2"/>
            <w:vAlign w:val="center"/>
          </w:tcPr>
          <w:p w14:paraId="35A3578C">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102</w:t>
            </w:r>
          </w:p>
        </w:tc>
        <w:tc>
          <w:tcPr>
            <w:tcW w:w="900" w:type="dxa"/>
            <w:gridSpan w:val="2"/>
            <w:vAlign w:val="center"/>
          </w:tcPr>
          <w:p w14:paraId="0EADD2EE">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调查员</w:t>
            </w:r>
          </w:p>
        </w:tc>
        <w:tc>
          <w:tcPr>
            <w:tcW w:w="1341" w:type="dxa"/>
            <w:vAlign w:val="center"/>
          </w:tcPr>
          <w:p w14:paraId="641319FA">
            <w:pPr>
              <w:spacing w:line="240" w:lineRule="auto"/>
              <w:jc w:val="center"/>
              <w:rPr>
                <w:rFonts w:ascii="宋体" w:hAnsi="宋体" w:cs="宋体"/>
                <w:bCs/>
                <w:color w:val="000000" w:themeColor="text1"/>
                <w:sz w:val="18"/>
                <w:szCs w:val="18"/>
                <w14:textFill>
                  <w14:solidFill>
                    <w14:schemeClr w14:val="tx1"/>
                  </w14:solidFill>
                </w14:textFill>
              </w:rPr>
            </w:pPr>
          </w:p>
        </w:tc>
      </w:tr>
      <w:tr w14:paraId="3C2D9C29">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52" w:hRule="atLeast"/>
          <w:jc w:val="center"/>
        </w:trPr>
        <w:tc>
          <w:tcPr>
            <w:tcW w:w="965" w:type="dxa"/>
            <w:vAlign w:val="center"/>
          </w:tcPr>
          <w:p w14:paraId="14683D92">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103</w:t>
            </w:r>
          </w:p>
        </w:tc>
        <w:tc>
          <w:tcPr>
            <w:tcW w:w="1177" w:type="dxa"/>
            <w:vAlign w:val="center"/>
          </w:tcPr>
          <w:p w14:paraId="55ADEABB">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调查日期</w:t>
            </w:r>
          </w:p>
        </w:tc>
        <w:tc>
          <w:tcPr>
            <w:tcW w:w="4815" w:type="dxa"/>
            <w:gridSpan w:val="3"/>
            <w:vAlign w:val="center"/>
          </w:tcPr>
          <w:p w14:paraId="43845222">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年    月    日</w:t>
            </w:r>
          </w:p>
        </w:tc>
        <w:tc>
          <w:tcPr>
            <w:tcW w:w="877" w:type="dxa"/>
            <w:gridSpan w:val="2"/>
            <w:vAlign w:val="center"/>
          </w:tcPr>
          <w:p w14:paraId="7D68C3A5">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104</w:t>
            </w:r>
          </w:p>
        </w:tc>
        <w:tc>
          <w:tcPr>
            <w:tcW w:w="900" w:type="dxa"/>
            <w:gridSpan w:val="2"/>
            <w:vAlign w:val="center"/>
          </w:tcPr>
          <w:p w14:paraId="63D2DF27">
            <w:pPr>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审核人</w:t>
            </w:r>
          </w:p>
        </w:tc>
        <w:tc>
          <w:tcPr>
            <w:tcW w:w="1341" w:type="dxa"/>
            <w:vAlign w:val="center"/>
          </w:tcPr>
          <w:p w14:paraId="7D08FDFD">
            <w:pPr>
              <w:spacing w:line="240" w:lineRule="auto"/>
              <w:jc w:val="center"/>
              <w:rPr>
                <w:rFonts w:ascii="宋体" w:hAnsi="宋体" w:cs="宋体"/>
                <w:bCs/>
                <w:color w:val="000000" w:themeColor="text1"/>
                <w:sz w:val="18"/>
                <w:szCs w:val="18"/>
                <w14:textFill>
                  <w14:solidFill>
                    <w14:schemeClr w14:val="tx1"/>
                  </w14:solidFill>
                </w14:textFill>
              </w:rPr>
            </w:pPr>
          </w:p>
        </w:tc>
      </w:tr>
      <w:tr w14:paraId="496C80AD">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restart"/>
            <w:vAlign w:val="center"/>
          </w:tcPr>
          <w:p w14:paraId="3170FCEE">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用</w:t>
            </w:r>
          </w:p>
          <w:p w14:paraId="12A7923C">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人</w:t>
            </w:r>
          </w:p>
          <w:p w14:paraId="045361E3">
            <w:pPr>
              <w:snapToGrid w:val="0"/>
              <w:spacing w:line="240" w:lineRule="auto"/>
              <w:ind w:left="210" w:leftChars="100" w:right="210" w:rightChars="10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单</w:t>
            </w:r>
          </w:p>
          <w:p w14:paraId="406685CA">
            <w:pPr>
              <w:snapToGrid w:val="0"/>
              <w:spacing w:line="240" w:lineRule="auto"/>
              <w:ind w:left="210" w:leftChars="100" w:right="210" w:rightChars="10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位</w:t>
            </w:r>
          </w:p>
          <w:p w14:paraId="71F0EDBC">
            <w:pPr>
              <w:snapToGrid w:val="0"/>
              <w:spacing w:line="240" w:lineRule="auto"/>
              <w:ind w:left="210" w:leftChars="100" w:right="210" w:rightChars="10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基</w:t>
            </w:r>
          </w:p>
          <w:p w14:paraId="3B9B0409">
            <w:pPr>
              <w:snapToGrid w:val="0"/>
              <w:spacing w:line="240" w:lineRule="auto"/>
              <w:ind w:left="210" w:leftChars="100" w:right="210" w:rightChars="10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本</w:t>
            </w:r>
          </w:p>
          <w:p w14:paraId="17970290">
            <w:pPr>
              <w:snapToGrid w:val="0"/>
              <w:spacing w:line="240" w:lineRule="auto"/>
              <w:ind w:left="210" w:leftChars="100" w:right="210" w:rightChars="10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信</w:t>
            </w:r>
          </w:p>
          <w:p w14:paraId="74B5B264">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息</w:t>
            </w:r>
          </w:p>
        </w:tc>
        <w:tc>
          <w:tcPr>
            <w:tcW w:w="1177" w:type="dxa"/>
            <w:vAlign w:val="center"/>
          </w:tcPr>
          <w:p w14:paraId="2B121676">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201</w:t>
            </w:r>
          </w:p>
        </w:tc>
        <w:tc>
          <w:tcPr>
            <w:tcW w:w="2522" w:type="dxa"/>
            <w:vAlign w:val="center"/>
          </w:tcPr>
          <w:p w14:paraId="572A482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企业名称</w:t>
            </w:r>
          </w:p>
        </w:tc>
        <w:tc>
          <w:tcPr>
            <w:tcW w:w="5411" w:type="dxa"/>
            <w:gridSpan w:val="7"/>
            <w:vAlign w:val="center"/>
          </w:tcPr>
          <w:p w14:paraId="02B6F08C">
            <w:pPr>
              <w:snapToGrid w:val="0"/>
              <w:spacing w:line="240" w:lineRule="auto"/>
              <w:jc w:val="center"/>
              <w:rPr>
                <w:rFonts w:ascii="宋体" w:hAnsi="宋体" w:cs="宋体"/>
                <w:bCs/>
                <w:color w:val="000000" w:themeColor="text1"/>
                <w:sz w:val="18"/>
                <w:szCs w:val="18"/>
                <w14:textFill>
                  <w14:solidFill>
                    <w14:schemeClr w14:val="tx1"/>
                  </w14:solidFill>
                </w14:textFill>
              </w:rPr>
            </w:pPr>
          </w:p>
        </w:tc>
      </w:tr>
      <w:tr w14:paraId="5009ADB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009CA52F">
            <w:pPr>
              <w:snapToGrid w:val="0"/>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7907D540">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202</w:t>
            </w:r>
          </w:p>
        </w:tc>
        <w:tc>
          <w:tcPr>
            <w:tcW w:w="2522" w:type="dxa"/>
            <w:vAlign w:val="center"/>
          </w:tcPr>
          <w:p w14:paraId="0483C629">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统一社会信用代码</w:t>
            </w:r>
          </w:p>
        </w:tc>
        <w:tc>
          <w:tcPr>
            <w:tcW w:w="5411" w:type="dxa"/>
            <w:gridSpan w:val="7"/>
            <w:vAlign w:val="center"/>
          </w:tcPr>
          <w:p w14:paraId="479A9F0A">
            <w:pPr>
              <w:snapToGrid w:val="0"/>
              <w:spacing w:line="240" w:lineRule="auto"/>
              <w:jc w:val="center"/>
              <w:rPr>
                <w:rFonts w:ascii="宋体" w:hAnsi="宋体" w:cs="宋体"/>
                <w:bCs/>
                <w:color w:val="000000" w:themeColor="text1"/>
                <w:sz w:val="18"/>
                <w:szCs w:val="18"/>
                <w14:textFill>
                  <w14:solidFill>
                    <w14:schemeClr w14:val="tx1"/>
                  </w14:solidFill>
                </w14:textFill>
              </w:rPr>
            </w:pPr>
          </w:p>
        </w:tc>
      </w:tr>
      <w:tr w14:paraId="0CE9ED65">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3DCDC405">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1FEC7B41">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203</w:t>
            </w:r>
          </w:p>
        </w:tc>
        <w:tc>
          <w:tcPr>
            <w:tcW w:w="2522" w:type="dxa"/>
            <w:vAlign w:val="center"/>
          </w:tcPr>
          <w:p w14:paraId="378C8378">
            <w:pPr>
              <w:snapToGrid w:val="0"/>
              <w:spacing w:line="240" w:lineRule="auto"/>
              <w:jc w:val="center"/>
              <w:rPr>
                <w:rFonts w:ascii="宋体" w:hAnsi="宋体" w:cs="宋体"/>
                <w:bCs/>
                <w:color w:val="000000" w:themeColor="text1"/>
                <w:sz w:val="18"/>
                <w:szCs w:val="18"/>
                <w:u w:val="single"/>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工作场所地址</w:t>
            </w:r>
          </w:p>
        </w:tc>
        <w:tc>
          <w:tcPr>
            <w:tcW w:w="5411" w:type="dxa"/>
            <w:gridSpan w:val="7"/>
            <w:vAlign w:val="center"/>
          </w:tcPr>
          <w:p w14:paraId="039A0987">
            <w:pPr>
              <w:snapToGrid w:val="0"/>
              <w:spacing w:line="240" w:lineRule="auto"/>
              <w:rPr>
                <w:rFonts w:ascii="宋体" w:hAnsi="宋体" w:cs="宋体"/>
                <w:bCs/>
                <w:color w:val="000000" w:themeColor="text1"/>
                <w:sz w:val="18"/>
                <w:szCs w:val="18"/>
                <w14:textFill>
                  <w14:solidFill>
                    <w14:schemeClr w14:val="tx1"/>
                  </w14:solidFill>
                </w14:textFill>
              </w:rPr>
            </w:pPr>
          </w:p>
        </w:tc>
      </w:tr>
      <w:tr w14:paraId="38A72DC9">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7677F7F5">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1356E195">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204</w:t>
            </w:r>
          </w:p>
        </w:tc>
        <w:tc>
          <w:tcPr>
            <w:tcW w:w="2522" w:type="dxa"/>
            <w:vAlign w:val="center"/>
          </w:tcPr>
          <w:p w14:paraId="0CAA8DB3">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单位注册地址</w:t>
            </w:r>
          </w:p>
        </w:tc>
        <w:tc>
          <w:tcPr>
            <w:tcW w:w="5411" w:type="dxa"/>
            <w:gridSpan w:val="7"/>
            <w:vAlign w:val="center"/>
          </w:tcPr>
          <w:p w14:paraId="0D13BB56">
            <w:pPr>
              <w:snapToGrid w:val="0"/>
              <w:spacing w:line="240" w:lineRule="auto"/>
              <w:rPr>
                <w:rFonts w:ascii="宋体" w:hAnsi="宋体" w:cs="宋体"/>
                <w:bCs/>
                <w:color w:val="000000" w:themeColor="text1"/>
                <w:sz w:val="18"/>
                <w:szCs w:val="18"/>
                <w14:textFill>
                  <w14:solidFill>
                    <w14:schemeClr w14:val="tx1"/>
                  </w14:solidFill>
                </w14:textFill>
              </w:rPr>
            </w:pPr>
          </w:p>
        </w:tc>
      </w:tr>
      <w:tr w14:paraId="777705A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2225959E">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0E9AD762">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205</w:t>
            </w:r>
          </w:p>
        </w:tc>
        <w:tc>
          <w:tcPr>
            <w:tcW w:w="2522" w:type="dxa"/>
            <w:vAlign w:val="center"/>
          </w:tcPr>
          <w:p w14:paraId="2AD2D82A">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行业代码</w:t>
            </w:r>
          </w:p>
        </w:tc>
        <w:tc>
          <w:tcPr>
            <w:tcW w:w="1440" w:type="dxa"/>
            <w:vAlign w:val="center"/>
          </w:tcPr>
          <w:p w14:paraId="50FFA3BC">
            <w:pPr>
              <w:snapToGrid w:val="0"/>
              <w:spacing w:line="240" w:lineRule="auto"/>
              <w:rPr>
                <w:rFonts w:ascii="宋体" w:hAnsi="宋体" w:cs="宋体"/>
                <w:bCs/>
                <w:color w:val="000000" w:themeColor="text1"/>
                <w:sz w:val="18"/>
                <w:szCs w:val="18"/>
                <w14:textFill>
                  <w14:solidFill>
                    <w14:schemeClr w14:val="tx1"/>
                  </w14:solidFill>
                </w14:textFill>
              </w:rPr>
            </w:pPr>
          </w:p>
        </w:tc>
        <w:tc>
          <w:tcPr>
            <w:tcW w:w="971" w:type="dxa"/>
            <w:gridSpan w:val="2"/>
            <w:vAlign w:val="center"/>
          </w:tcPr>
          <w:p w14:paraId="0179D3B8">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206</w:t>
            </w:r>
          </w:p>
        </w:tc>
        <w:tc>
          <w:tcPr>
            <w:tcW w:w="1608" w:type="dxa"/>
            <w:gridSpan w:val="2"/>
            <w:vAlign w:val="center"/>
          </w:tcPr>
          <w:p w14:paraId="5EE1E6A8">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风险分类</w:t>
            </w:r>
          </w:p>
        </w:tc>
        <w:tc>
          <w:tcPr>
            <w:tcW w:w="1392" w:type="dxa"/>
            <w:gridSpan w:val="2"/>
            <w:vAlign w:val="center"/>
          </w:tcPr>
          <w:p w14:paraId="54497404">
            <w:pPr>
              <w:snapToGrid w:val="0"/>
              <w:spacing w:line="240" w:lineRule="auto"/>
              <w:rPr>
                <w:rFonts w:ascii="宋体" w:hAnsi="宋体" w:cs="宋体"/>
                <w:bCs/>
                <w:color w:val="000000" w:themeColor="text1"/>
                <w:sz w:val="18"/>
                <w:szCs w:val="18"/>
                <w14:textFill>
                  <w14:solidFill>
                    <w14:schemeClr w14:val="tx1"/>
                  </w14:solidFill>
                </w14:textFill>
              </w:rPr>
            </w:pPr>
          </w:p>
        </w:tc>
      </w:tr>
      <w:tr w14:paraId="71282423">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74FA4708">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200396DA">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207</w:t>
            </w:r>
          </w:p>
        </w:tc>
        <w:tc>
          <w:tcPr>
            <w:tcW w:w="2522" w:type="dxa"/>
            <w:vAlign w:val="center"/>
          </w:tcPr>
          <w:p w14:paraId="3B4879BB">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法定代表人姓名</w:t>
            </w:r>
          </w:p>
        </w:tc>
        <w:tc>
          <w:tcPr>
            <w:tcW w:w="5411" w:type="dxa"/>
            <w:gridSpan w:val="7"/>
            <w:vAlign w:val="center"/>
          </w:tcPr>
          <w:p w14:paraId="1206E892">
            <w:pPr>
              <w:snapToGrid w:val="0"/>
              <w:spacing w:line="240" w:lineRule="auto"/>
              <w:rPr>
                <w:rFonts w:ascii="宋体" w:hAnsi="宋体" w:cs="宋体"/>
                <w:bCs/>
                <w:color w:val="000000" w:themeColor="text1"/>
                <w:sz w:val="18"/>
                <w:szCs w:val="18"/>
                <w14:textFill>
                  <w14:solidFill>
                    <w14:schemeClr w14:val="tx1"/>
                  </w14:solidFill>
                </w14:textFill>
              </w:rPr>
            </w:pPr>
          </w:p>
        </w:tc>
      </w:tr>
      <w:tr w14:paraId="3FE64510">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39" w:hRule="atLeast"/>
          <w:jc w:val="center"/>
        </w:trPr>
        <w:tc>
          <w:tcPr>
            <w:tcW w:w="965" w:type="dxa"/>
            <w:vMerge w:val="continue"/>
          </w:tcPr>
          <w:p w14:paraId="7A7BA7DC">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7ED4F372">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208</w:t>
            </w:r>
          </w:p>
        </w:tc>
        <w:tc>
          <w:tcPr>
            <w:tcW w:w="2522" w:type="dxa"/>
            <w:vAlign w:val="center"/>
          </w:tcPr>
          <w:p w14:paraId="72D13775">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联系人</w:t>
            </w:r>
          </w:p>
        </w:tc>
        <w:tc>
          <w:tcPr>
            <w:tcW w:w="1440" w:type="dxa"/>
            <w:vAlign w:val="center"/>
          </w:tcPr>
          <w:p w14:paraId="7F26CE54">
            <w:pPr>
              <w:snapToGrid w:val="0"/>
              <w:spacing w:line="240" w:lineRule="auto"/>
              <w:rPr>
                <w:rFonts w:ascii="宋体" w:hAnsi="宋体" w:cs="宋体"/>
                <w:bCs/>
                <w:color w:val="000000" w:themeColor="text1"/>
                <w:sz w:val="18"/>
                <w:szCs w:val="18"/>
                <w14:textFill>
                  <w14:solidFill>
                    <w14:schemeClr w14:val="tx1"/>
                  </w14:solidFill>
                </w14:textFill>
              </w:rPr>
            </w:pPr>
          </w:p>
        </w:tc>
        <w:tc>
          <w:tcPr>
            <w:tcW w:w="971" w:type="dxa"/>
            <w:gridSpan w:val="2"/>
            <w:vAlign w:val="center"/>
          </w:tcPr>
          <w:p w14:paraId="25062E17">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209</w:t>
            </w:r>
          </w:p>
        </w:tc>
        <w:tc>
          <w:tcPr>
            <w:tcW w:w="1608" w:type="dxa"/>
            <w:gridSpan w:val="2"/>
            <w:vAlign w:val="center"/>
          </w:tcPr>
          <w:p w14:paraId="0F78E9FB">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联系电话</w:t>
            </w:r>
          </w:p>
        </w:tc>
        <w:tc>
          <w:tcPr>
            <w:tcW w:w="1392" w:type="dxa"/>
            <w:gridSpan w:val="2"/>
            <w:vAlign w:val="center"/>
          </w:tcPr>
          <w:p w14:paraId="757A909B">
            <w:pPr>
              <w:snapToGrid w:val="0"/>
              <w:spacing w:line="240" w:lineRule="auto"/>
              <w:rPr>
                <w:rFonts w:ascii="宋体" w:hAnsi="宋体" w:cs="宋体"/>
                <w:bCs/>
                <w:color w:val="000000" w:themeColor="text1"/>
                <w:sz w:val="18"/>
                <w:szCs w:val="18"/>
                <w14:textFill>
                  <w14:solidFill>
                    <w14:schemeClr w14:val="tx1"/>
                  </w14:solidFill>
                </w14:textFill>
              </w:rPr>
            </w:pPr>
          </w:p>
        </w:tc>
      </w:tr>
      <w:tr w14:paraId="70F330EA">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871" w:hRule="atLeast"/>
          <w:jc w:val="center"/>
        </w:trPr>
        <w:tc>
          <w:tcPr>
            <w:tcW w:w="965" w:type="dxa"/>
            <w:vMerge w:val="continue"/>
          </w:tcPr>
          <w:p w14:paraId="55A6DCCB">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3C011099">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210</w:t>
            </w:r>
          </w:p>
        </w:tc>
        <w:tc>
          <w:tcPr>
            <w:tcW w:w="2522" w:type="dxa"/>
            <w:vAlign w:val="center"/>
          </w:tcPr>
          <w:p w14:paraId="162FE88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登记注册类型</w:t>
            </w:r>
          </w:p>
        </w:tc>
        <w:tc>
          <w:tcPr>
            <w:tcW w:w="5411" w:type="dxa"/>
            <w:gridSpan w:val="7"/>
            <w:vAlign w:val="center"/>
          </w:tcPr>
          <w:p w14:paraId="2A683F9A">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国有企业；</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集体企业；</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股份合作企业；</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联营企业；</w:t>
            </w:r>
          </w:p>
          <w:p w14:paraId="39E1FE03">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有限责任公司；</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股份有限公司；</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私营企业；</w:t>
            </w:r>
          </w:p>
          <w:p w14:paraId="4D80F21D">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港、澳、台商投资企业；</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外商投资企业；</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其他企业。</w:t>
            </w:r>
          </w:p>
        </w:tc>
      </w:tr>
      <w:tr w14:paraId="0F2C77D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17" w:hRule="atLeast"/>
          <w:jc w:val="center"/>
        </w:trPr>
        <w:tc>
          <w:tcPr>
            <w:tcW w:w="965" w:type="dxa"/>
            <w:vMerge w:val="continue"/>
          </w:tcPr>
          <w:p w14:paraId="65AB0665">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7C86EA5A">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211</w:t>
            </w:r>
          </w:p>
        </w:tc>
        <w:tc>
          <w:tcPr>
            <w:tcW w:w="2522" w:type="dxa"/>
            <w:vAlign w:val="center"/>
          </w:tcPr>
          <w:p w14:paraId="78605829">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企业规模</w:t>
            </w:r>
          </w:p>
        </w:tc>
        <w:tc>
          <w:tcPr>
            <w:tcW w:w="5411" w:type="dxa"/>
            <w:gridSpan w:val="7"/>
            <w:vAlign w:val="center"/>
          </w:tcPr>
          <w:p w14:paraId="156BE081">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 xml:space="preserve">小型企业   </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cs="宋体"/>
                <w:bCs/>
                <w:color w:val="000000" w:themeColor="text1"/>
                <w:sz w:val="18"/>
                <w:szCs w:val="18"/>
                <w14:textFill>
                  <w14:solidFill>
                    <w14:schemeClr w14:val="tx1"/>
                  </w14:solidFill>
                </w14:textFill>
              </w:rPr>
              <w:t>微型企业</w:t>
            </w:r>
          </w:p>
        </w:tc>
      </w:tr>
      <w:tr w14:paraId="62FEB268">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891" w:hRule="atLeast"/>
          <w:jc w:val="center"/>
        </w:trPr>
        <w:tc>
          <w:tcPr>
            <w:tcW w:w="965" w:type="dxa"/>
            <w:vMerge w:val="continue"/>
          </w:tcPr>
          <w:p w14:paraId="038FCEF2">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12C8D8E5">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212</w:t>
            </w:r>
          </w:p>
        </w:tc>
        <w:tc>
          <w:tcPr>
            <w:tcW w:w="2522" w:type="dxa"/>
            <w:vAlign w:val="center"/>
          </w:tcPr>
          <w:p w14:paraId="0D36B8CD">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生产产品</w:t>
            </w:r>
          </w:p>
        </w:tc>
        <w:tc>
          <w:tcPr>
            <w:tcW w:w="5411" w:type="dxa"/>
            <w:gridSpan w:val="7"/>
            <w:vAlign w:val="center"/>
          </w:tcPr>
          <w:p w14:paraId="3A93D8F3">
            <w:pPr>
              <w:snapToGrid w:val="0"/>
              <w:spacing w:line="240" w:lineRule="auto"/>
              <w:rPr>
                <w:rFonts w:ascii="宋体" w:hAnsi="宋体" w:cs="宋体"/>
                <w:bCs/>
                <w:color w:val="000000" w:themeColor="text1"/>
                <w:sz w:val="18"/>
                <w:szCs w:val="18"/>
                <w:u w:val="single"/>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1.产品名称：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年产量：</w:t>
            </w:r>
            <w:r>
              <w:rPr>
                <w:rFonts w:hint="eastAsia" w:ascii="宋体" w:hAnsi="宋体" w:cs="宋体"/>
                <w:bCs/>
                <w:color w:val="000000" w:themeColor="text1"/>
                <w:sz w:val="18"/>
                <w:szCs w:val="18"/>
                <w:u w:val="single"/>
                <w14:textFill>
                  <w14:solidFill>
                    <w14:schemeClr w14:val="tx1"/>
                  </w14:solidFill>
                </w14:textFill>
              </w:rPr>
              <w:t xml:space="preserve">                                                                                           </w:t>
            </w:r>
          </w:p>
          <w:p w14:paraId="508BD7F9">
            <w:pPr>
              <w:snapToGrid w:val="0"/>
              <w:spacing w:line="240" w:lineRule="auto"/>
              <w:rPr>
                <w:rFonts w:ascii="宋体" w:hAnsi="宋体" w:cs="宋体"/>
                <w:bCs/>
                <w:color w:val="000000" w:themeColor="text1"/>
                <w:sz w:val="18"/>
                <w:szCs w:val="18"/>
                <w:u w:val="single"/>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2.产品名称：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年产量：</w:t>
            </w:r>
            <w:r>
              <w:rPr>
                <w:rFonts w:hint="eastAsia" w:ascii="宋体" w:hAnsi="宋体" w:cs="宋体"/>
                <w:bCs/>
                <w:color w:val="000000" w:themeColor="text1"/>
                <w:sz w:val="18"/>
                <w:szCs w:val="18"/>
                <w:u w:val="single"/>
                <w14:textFill>
                  <w14:solidFill>
                    <w14:schemeClr w14:val="tx1"/>
                  </w14:solidFill>
                </w14:textFill>
              </w:rPr>
              <w:t xml:space="preserve">                                </w:t>
            </w:r>
          </w:p>
          <w:p w14:paraId="495DFF37">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3.产品名称：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年产量：</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        </w:t>
            </w:r>
          </w:p>
        </w:tc>
      </w:tr>
      <w:tr w14:paraId="4E6BA61D">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873" w:hRule="atLeast"/>
          <w:jc w:val="center"/>
        </w:trPr>
        <w:tc>
          <w:tcPr>
            <w:tcW w:w="965" w:type="dxa"/>
            <w:vMerge w:val="continue"/>
          </w:tcPr>
          <w:p w14:paraId="6D4B8610">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2455BAD3">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213</w:t>
            </w:r>
          </w:p>
        </w:tc>
        <w:tc>
          <w:tcPr>
            <w:tcW w:w="2522" w:type="dxa"/>
            <w:vAlign w:val="center"/>
          </w:tcPr>
          <w:p w14:paraId="75C0888E">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主要原辅材料</w:t>
            </w:r>
          </w:p>
        </w:tc>
        <w:tc>
          <w:tcPr>
            <w:tcW w:w="5411" w:type="dxa"/>
            <w:gridSpan w:val="7"/>
            <w:vAlign w:val="center"/>
          </w:tcPr>
          <w:p w14:paraId="5EB1FE2D">
            <w:pPr>
              <w:snapToGrid w:val="0"/>
              <w:spacing w:line="240" w:lineRule="auto"/>
              <w:rPr>
                <w:rFonts w:ascii="宋体" w:hAnsi="宋体" w:cs="宋体"/>
                <w:bCs/>
                <w:color w:val="000000" w:themeColor="text1"/>
                <w:sz w:val="18"/>
                <w:szCs w:val="18"/>
                <w:u w:val="single"/>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年使用量：</w:t>
            </w:r>
            <w:r>
              <w:rPr>
                <w:rFonts w:hint="eastAsia" w:ascii="宋体" w:hAnsi="宋体" w:cs="宋体"/>
                <w:bCs/>
                <w:color w:val="000000" w:themeColor="text1"/>
                <w:sz w:val="18"/>
                <w:szCs w:val="18"/>
                <w:u w:val="single"/>
                <w14:textFill>
                  <w14:solidFill>
                    <w14:schemeClr w14:val="tx1"/>
                  </w14:solidFill>
                </w14:textFill>
              </w:rPr>
              <w:t xml:space="preserve">                                                  </w:t>
            </w:r>
          </w:p>
          <w:p w14:paraId="348665B2">
            <w:pPr>
              <w:snapToGrid w:val="0"/>
              <w:spacing w:line="240" w:lineRule="auto"/>
              <w:rPr>
                <w:rFonts w:ascii="宋体" w:hAnsi="宋体" w:cs="宋体"/>
                <w:bCs/>
                <w:color w:val="000000" w:themeColor="text1"/>
                <w:sz w:val="18"/>
                <w:szCs w:val="18"/>
                <w:u w:val="single"/>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  年使用量：</w:t>
            </w:r>
            <w:r>
              <w:rPr>
                <w:rFonts w:hint="eastAsia" w:ascii="宋体" w:hAnsi="宋体" w:cs="宋体"/>
                <w:bCs/>
                <w:color w:val="000000" w:themeColor="text1"/>
                <w:sz w:val="18"/>
                <w:szCs w:val="18"/>
                <w:u w:val="single"/>
                <w14:textFill>
                  <w14:solidFill>
                    <w14:schemeClr w14:val="tx1"/>
                  </w14:solidFill>
                </w14:textFill>
              </w:rPr>
              <w:t xml:space="preserve">                                                                              </w:t>
            </w:r>
          </w:p>
          <w:p w14:paraId="3FC3EA9D">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3.名称：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年使用量：</w:t>
            </w:r>
            <w:r>
              <w:rPr>
                <w:rFonts w:hint="eastAsia" w:ascii="宋体" w:hAnsi="宋体" w:cs="宋体"/>
                <w:bCs/>
                <w:color w:val="000000" w:themeColor="text1"/>
                <w:sz w:val="18"/>
                <w:szCs w:val="18"/>
                <w:u w:val="single"/>
                <w14:textFill>
                  <w14:solidFill>
                    <w14:schemeClr w14:val="tx1"/>
                  </w14:solidFill>
                </w14:textFill>
              </w:rPr>
              <w:t xml:space="preserve">                 </w:t>
            </w:r>
          </w:p>
        </w:tc>
      </w:tr>
      <w:tr w14:paraId="66D86EF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873" w:hRule="atLeast"/>
          <w:jc w:val="center"/>
        </w:trPr>
        <w:tc>
          <w:tcPr>
            <w:tcW w:w="965" w:type="dxa"/>
            <w:vMerge w:val="continue"/>
          </w:tcPr>
          <w:p w14:paraId="0F9BC957">
            <w:pPr>
              <w:spacing w:line="240" w:lineRule="auto"/>
              <w:jc w:val="center"/>
              <w:rPr>
                <w:rFonts w:ascii="宋体" w:hAnsi="宋体" w:cs="宋体"/>
                <w:bCs/>
                <w:color w:val="000000" w:themeColor="text1"/>
                <w:sz w:val="18"/>
                <w:szCs w:val="18"/>
                <w14:textFill>
                  <w14:solidFill>
                    <w14:schemeClr w14:val="tx1"/>
                  </w14:solidFill>
                </w14:textFill>
              </w:rPr>
            </w:pPr>
          </w:p>
        </w:tc>
        <w:tc>
          <w:tcPr>
            <w:tcW w:w="1177" w:type="dxa"/>
            <w:vAlign w:val="center"/>
          </w:tcPr>
          <w:p w14:paraId="4738EBF9">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214</w:t>
            </w:r>
          </w:p>
        </w:tc>
        <w:tc>
          <w:tcPr>
            <w:tcW w:w="2522" w:type="dxa"/>
            <w:vAlign w:val="center"/>
          </w:tcPr>
          <w:p w14:paraId="59D4F39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在岗职工人数</w:t>
            </w:r>
          </w:p>
        </w:tc>
        <w:tc>
          <w:tcPr>
            <w:tcW w:w="5411" w:type="dxa"/>
            <w:gridSpan w:val="7"/>
            <w:vAlign w:val="center"/>
          </w:tcPr>
          <w:p w14:paraId="41061DEE">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总人数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人。其中：1 女职工人数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48BE7BCE">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 劳务派遣人员</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212B80C4">
            <w:pPr>
              <w:pStyle w:val="15"/>
              <w:spacing w:line="240" w:lineRule="auto"/>
              <w:rPr>
                <w:color w:val="000000" w:themeColor="text1"/>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3.接触职业病危害因素总人数：</w:t>
            </w:r>
            <w:r>
              <w:rPr>
                <w:rFonts w:hint="eastAsia" w:ascii="宋体" w:hAnsi="宋体" w:cs="宋体"/>
                <w:bCs/>
                <w:color w:val="000000" w:themeColor="text1"/>
                <w:sz w:val="18"/>
                <w:szCs w:val="18"/>
                <w:u w:val="single"/>
                <w14:textFill>
                  <w14:solidFill>
                    <w14:schemeClr w14:val="tx1"/>
                  </w14:solidFill>
                </w14:textFill>
              </w:rPr>
              <w:t xml:space="preserve">    </w:t>
            </w:r>
            <w:r>
              <w:rPr>
                <w:rFonts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人，其中女职工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tc>
      </w:tr>
    </w:tbl>
    <w:p w14:paraId="1B150634">
      <w:pPr>
        <w:pStyle w:val="60"/>
        <w:ind w:firstLine="420"/>
      </w:pPr>
    </w:p>
    <w:p w14:paraId="69DB4EF1">
      <w:pPr>
        <w:pStyle w:val="60"/>
        <w:ind w:firstLine="420"/>
      </w:pPr>
    </w:p>
    <w:p w14:paraId="03EA8027">
      <w:pPr>
        <w:pStyle w:val="60"/>
        <w:ind w:firstLine="420"/>
      </w:pPr>
    </w:p>
    <w:p w14:paraId="4237B337">
      <w:pPr>
        <w:pStyle w:val="60"/>
        <w:ind w:firstLine="420"/>
      </w:pPr>
    </w:p>
    <w:p w14:paraId="29A0C250">
      <w:pPr>
        <w:pStyle w:val="2"/>
        <w:spacing w:before="156" w:beforeLines="50" w:after="156" w:afterLines="50"/>
        <w:ind w:firstLine="0"/>
        <w:jc w:val="center"/>
        <w:outlineLvl w:val="0"/>
        <w:rPr>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表A.1</w:t>
      </w:r>
      <w:r>
        <w:rPr>
          <w:rFonts w:hint="eastAsia"/>
          <w:color w:val="000000" w:themeColor="text1"/>
          <w14:textFill>
            <w14:solidFill>
              <w14:schemeClr w14:val="tx1"/>
            </w14:solidFill>
          </w14:textFill>
        </w:rPr>
        <w:t xml:space="preserve">  </w:t>
      </w:r>
      <w:r>
        <w:rPr>
          <w:rFonts w:hint="eastAsia" w:ascii="黑体" w:hAnsi="黑体" w:eastAsia="黑体" w:cs="黑体"/>
          <w:color w:val="000000" w:themeColor="text1"/>
          <w14:textFill>
            <w14:solidFill>
              <w14:schemeClr w14:val="tx1"/>
            </w14:solidFill>
          </w14:textFill>
        </w:rPr>
        <w:t>职业病危害现状调查表</w:t>
      </w:r>
      <w:r>
        <w:rPr>
          <w:rFonts w:hint="eastAsia"/>
          <w:color w:val="000000" w:themeColor="text1"/>
          <w14:textFill>
            <w14:solidFill>
              <w14:schemeClr w14:val="tx1"/>
            </w14:solidFill>
          </w14:textFill>
        </w:rPr>
        <w:t>（续）</w:t>
      </w:r>
    </w:p>
    <w:tbl>
      <w:tblPr>
        <w:tblStyle w:val="29"/>
        <w:tblW w:w="10075" w:type="dxa"/>
        <w:jc w:val="center"/>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965"/>
        <w:gridCol w:w="1177"/>
        <w:gridCol w:w="7933"/>
      </w:tblGrid>
      <w:tr w14:paraId="0A21645D">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2632" w:hRule="atLeast"/>
          <w:jc w:val="center"/>
        </w:trPr>
        <w:tc>
          <w:tcPr>
            <w:tcW w:w="965" w:type="dxa"/>
            <w:vMerge w:val="restart"/>
            <w:vAlign w:val="center"/>
          </w:tcPr>
          <w:p w14:paraId="1006EAED">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职</w:t>
            </w:r>
          </w:p>
          <w:p w14:paraId="328C5255">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业</w:t>
            </w:r>
          </w:p>
          <w:p w14:paraId="50E7D5D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病</w:t>
            </w:r>
          </w:p>
          <w:p w14:paraId="47488619">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危</w:t>
            </w:r>
          </w:p>
          <w:p w14:paraId="285D274D">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害</w:t>
            </w:r>
          </w:p>
          <w:p w14:paraId="4442CAC0">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因</w:t>
            </w:r>
          </w:p>
          <w:p w14:paraId="3438A7B3">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素</w:t>
            </w:r>
          </w:p>
          <w:p w14:paraId="24E89973">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种</w:t>
            </w:r>
          </w:p>
          <w:p w14:paraId="2BBAD7D1">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类</w:t>
            </w:r>
          </w:p>
          <w:p w14:paraId="437B35F4">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及</w:t>
            </w:r>
          </w:p>
          <w:p w14:paraId="5C92A0E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接</w:t>
            </w:r>
          </w:p>
          <w:p w14:paraId="60384BAF">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触</w:t>
            </w:r>
          </w:p>
          <w:p w14:paraId="44700A4D">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情</w:t>
            </w:r>
          </w:p>
          <w:p w14:paraId="2747F44E">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况</w:t>
            </w:r>
          </w:p>
        </w:tc>
        <w:tc>
          <w:tcPr>
            <w:tcW w:w="1177" w:type="dxa"/>
            <w:vAlign w:val="center"/>
          </w:tcPr>
          <w:p w14:paraId="732B7970">
            <w:pPr>
              <w:snapToGrid w:val="0"/>
              <w:spacing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301</w:t>
            </w:r>
            <w:r>
              <w:rPr>
                <w:rFonts w:ascii="宋体" w:hAnsi="宋体" w:cs="宋体"/>
                <w:bCs/>
                <w:color w:val="000000" w:themeColor="text1"/>
                <w:sz w:val="18"/>
                <w:szCs w:val="18"/>
                <w14:textFill>
                  <w14:solidFill>
                    <w14:schemeClr w14:val="tx1"/>
                  </w14:solidFill>
                </w14:textFill>
              </w:rPr>
              <w:t xml:space="preserve"> </w:t>
            </w:r>
          </w:p>
        </w:tc>
        <w:tc>
          <w:tcPr>
            <w:tcW w:w="7933" w:type="dxa"/>
            <w:vAlign w:val="center"/>
          </w:tcPr>
          <w:p w14:paraId="4FCBFBC0">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粉尘种类</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；接触人数：</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人，其中：</w:t>
            </w:r>
          </w:p>
          <w:p w14:paraId="6EA6844C">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1 煤尘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2 矽尘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w:t>
            </w:r>
          </w:p>
          <w:p w14:paraId="524768C9">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3 石棉粉尘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4 水泥粉尘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28B1BE2F">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5 电焊烟尘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          6 砂轮磨尘</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1D6B7B4D">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7 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8 大理石粉尘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6728A58B">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9 石灰石粉尘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10铝尘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p w14:paraId="5C5BD25A">
            <w:pPr>
              <w:snapToGrid w:val="0"/>
              <w:spacing w:line="240" w:lineRule="auto"/>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 xml:space="preserve">11 炭黑粉尘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 xml:space="preserve">人。         12 其他粉尘 </w:t>
            </w:r>
            <w:r>
              <w:rPr>
                <w:rFonts w:hint="eastAsia" w:ascii="宋体" w:hAnsi="宋体" w:cs="宋体"/>
                <w:bCs/>
                <w:color w:val="000000" w:themeColor="text1"/>
                <w:sz w:val="18"/>
                <w:szCs w:val="18"/>
                <w:u w:val="single"/>
                <w14:textFill>
                  <w14:solidFill>
                    <w14:schemeClr w14:val="tx1"/>
                  </w14:solidFill>
                </w14:textFill>
              </w:rPr>
              <w:t xml:space="preserve">     </w:t>
            </w:r>
            <w:r>
              <w:rPr>
                <w:rFonts w:hint="eastAsia" w:ascii="宋体" w:hAnsi="宋体" w:cs="宋体"/>
                <w:bCs/>
                <w:color w:val="000000" w:themeColor="text1"/>
                <w:sz w:val="18"/>
                <w:szCs w:val="18"/>
                <w14:textFill>
                  <w14:solidFill>
                    <w14:schemeClr w14:val="tx1"/>
                  </w14:solidFill>
                </w14:textFill>
              </w:rPr>
              <w:t>人。</w:t>
            </w:r>
          </w:p>
        </w:tc>
      </w:tr>
      <w:tr w14:paraId="08078FAC">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1737" w:hRule="atLeast"/>
          <w:jc w:val="center"/>
        </w:trPr>
        <w:tc>
          <w:tcPr>
            <w:tcW w:w="965" w:type="dxa"/>
            <w:vMerge w:val="continue"/>
          </w:tcPr>
          <w:p w14:paraId="54CB21DE">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6F601F50">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302</w:t>
            </w:r>
          </w:p>
        </w:tc>
        <w:tc>
          <w:tcPr>
            <w:tcW w:w="7933" w:type="dxa"/>
          </w:tcPr>
          <w:p w14:paraId="11A46B79">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化学毒物种类</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；接触人数：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人，其中：</w:t>
            </w:r>
          </w:p>
          <w:p w14:paraId="4424A72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 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2 甲苯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1CD95FC0">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3 二甲苯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4 三氯乙烯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34C8AF8B">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5 二氯乙烷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6 正己烷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2D1041B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7 乙酸丁酯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8 乙酸乙酯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7A0337B5">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9 二甲基甲酰胺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10 汽油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395C715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11 二苯基甲烷二异氰酸酯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3FDF3F9B">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12 有机磷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13 拟除虫菊酯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034351A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14 铅及其化合物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15 镉及其化合物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083F2B3A">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16 汞及其化合物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17 锰及其化合物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2EE01A8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18 铬及其化合物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19 氯化氢及盐酸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4C1C67DA">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20 一氧化碳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21 硫酸及三氧化硫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4EA6B94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22 硫化氢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23 氯气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4156873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24 甲醛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25 氨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13D1E84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26 其他毒物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414D1BD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794" w:hRule="atLeast"/>
          <w:jc w:val="center"/>
        </w:trPr>
        <w:tc>
          <w:tcPr>
            <w:tcW w:w="965" w:type="dxa"/>
            <w:vMerge w:val="continue"/>
          </w:tcPr>
          <w:p w14:paraId="1708992F">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9EE69AF">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303</w:t>
            </w:r>
          </w:p>
        </w:tc>
        <w:tc>
          <w:tcPr>
            <w:tcW w:w="7933" w:type="dxa"/>
            <w:vAlign w:val="center"/>
          </w:tcPr>
          <w:p w14:paraId="7DAA7CD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物理因素种类</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；接触人数：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人，其中：</w:t>
            </w:r>
          </w:p>
          <w:p w14:paraId="1D1DBCE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 噪声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2 高温</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3 电离辐射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4 紫外线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32CD19C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5 其他有害物理因素 </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13C9C5C2">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334" w:hRule="atLeast"/>
          <w:jc w:val="center"/>
        </w:trPr>
        <w:tc>
          <w:tcPr>
            <w:tcW w:w="965" w:type="dxa"/>
            <w:vMerge w:val="continue"/>
          </w:tcPr>
          <w:p w14:paraId="7EE1E1E6">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4EA021D7">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304</w:t>
            </w:r>
          </w:p>
        </w:tc>
        <w:tc>
          <w:tcPr>
            <w:tcW w:w="7933" w:type="dxa"/>
            <w:vAlign w:val="center"/>
          </w:tcPr>
          <w:p w14:paraId="464F0E3E">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生物因素接触人数：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61812066">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4" w:hRule="atLeast"/>
          <w:jc w:val="center"/>
        </w:trPr>
        <w:tc>
          <w:tcPr>
            <w:tcW w:w="965" w:type="dxa"/>
            <w:vMerge w:val="continue"/>
          </w:tcPr>
          <w:p w14:paraId="220DD8C0">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DB98A0A">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305</w:t>
            </w:r>
          </w:p>
        </w:tc>
        <w:tc>
          <w:tcPr>
            <w:tcW w:w="7933" w:type="dxa"/>
            <w:vAlign w:val="center"/>
          </w:tcPr>
          <w:p w14:paraId="2FAFD3E7">
            <w:pPr>
              <w:snapToGrid w:val="0"/>
              <w:spacing w:line="240" w:lineRule="auto"/>
              <w:rPr>
                <w:rFonts w:ascii="宋体" w:hAnsi="宋体" w:cs="宋体"/>
                <w:color w:val="000000" w:themeColor="text1"/>
                <w:sz w:val="18"/>
                <w:szCs w:val="18"/>
                <w:u w:val="single"/>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其他因素接触人数：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人。注明其他因素种类及接触人数：</w:t>
            </w:r>
            <w:r>
              <w:rPr>
                <w:rFonts w:hint="eastAsia" w:ascii="宋体" w:hAnsi="宋体" w:cs="宋体"/>
                <w:color w:val="000000" w:themeColor="text1"/>
                <w:sz w:val="18"/>
                <w:szCs w:val="18"/>
                <w:u w:val="single"/>
                <w14:textFill>
                  <w14:solidFill>
                    <w14:schemeClr w14:val="tx1"/>
                  </w14:solidFill>
                </w14:textFill>
              </w:rPr>
              <w:t xml:space="preserve">                  </w:t>
            </w:r>
          </w:p>
          <w:p w14:paraId="0585A29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tc>
      </w:tr>
      <w:tr w14:paraId="01727E12">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8" w:hRule="atLeast"/>
          <w:jc w:val="center"/>
        </w:trPr>
        <w:tc>
          <w:tcPr>
            <w:tcW w:w="965" w:type="dxa"/>
            <w:vAlign w:val="center"/>
          </w:tcPr>
          <w:p w14:paraId="5A042FA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职业卫生管理职责明确情况</w:t>
            </w:r>
          </w:p>
        </w:tc>
        <w:tc>
          <w:tcPr>
            <w:tcW w:w="1177" w:type="dxa"/>
            <w:vAlign w:val="center"/>
          </w:tcPr>
          <w:p w14:paraId="6BD2FF0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401</w:t>
            </w:r>
          </w:p>
        </w:tc>
        <w:tc>
          <w:tcPr>
            <w:tcW w:w="7933" w:type="dxa"/>
            <w:vAlign w:val="center"/>
          </w:tcPr>
          <w:p w14:paraId="0D0CCCC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 职业卫生管理部门（名称）</w:t>
            </w:r>
            <w:r>
              <w:rPr>
                <w:rFonts w:hint="eastAsia" w:ascii="宋体" w:hAnsi="宋体" w:cs="宋体"/>
                <w:color w:val="000000" w:themeColor="text1"/>
                <w:sz w:val="18"/>
                <w:szCs w:val="18"/>
                <w:u w:val="single"/>
                <w14:textFill>
                  <w14:solidFill>
                    <w14:schemeClr w14:val="tx1"/>
                  </w14:solidFill>
                </w14:textFill>
              </w:rPr>
              <w:t xml:space="preserve">                                      </w:t>
            </w:r>
          </w:p>
          <w:p w14:paraId="43ADB8D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职责明确情况：</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是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否</w:t>
            </w:r>
          </w:p>
          <w:p w14:paraId="7D3D91C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 职业卫生管理人员</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人；其中，专职</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人；兼职</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4468963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职责明确情况：</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是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否</w:t>
            </w:r>
          </w:p>
        </w:tc>
      </w:tr>
      <w:tr w14:paraId="6CA130B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8" w:hRule="atLeast"/>
          <w:jc w:val="center"/>
        </w:trPr>
        <w:tc>
          <w:tcPr>
            <w:tcW w:w="965" w:type="dxa"/>
            <w:vAlign w:val="center"/>
          </w:tcPr>
          <w:p w14:paraId="346ABDB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职业卫生管理制度和操作规程建立情况</w:t>
            </w:r>
          </w:p>
        </w:tc>
        <w:tc>
          <w:tcPr>
            <w:tcW w:w="1177" w:type="dxa"/>
            <w:vAlign w:val="center"/>
          </w:tcPr>
          <w:p w14:paraId="2A61AE97">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501</w:t>
            </w:r>
          </w:p>
        </w:tc>
        <w:tc>
          <w:tcPr>
            <w:tcW w:w="7933" w:type="dxa"/>
            <w:vAlign w:val="center"/>
          </w:tcPr>
          <w:p w14:paraId="55749812">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职业卫生管理制度：</w:t>
            </w:r>
          </w:p>
          <w:p w14:paraId="704E06E5">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□职业危害防治责任制度；         </w:t>
            </w:r>
            <w:r>
              <w:rPr>
                <w:rFonts w:hint="eastAsia"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lang w:val="zh-CN"/>
                <w14:textFill>
                  <w14:solidFill>
                    <w14:schemeClr w14:val="tx1"/>
                  </w14:solidFill>
                </w14:textFill>
              </w:rPr>
              <w:t>□职业病危害警示与告知制度；</w:t>
            </w:r>
          </w:p>
          <w:p w14:paraId="0BDFE33F">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□职业病危害项目申报制度；       </w:t>
            </w:r>
            <w:r>
              <w:rPr>
                <w:rFonts w:hint="eastAsia"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lang w:val="zh-CN"/>
                <w14:textFill>
                  <w14:solidFill>
                    <w14:schemeClr w14:val="tx1"/>
                  </w14:solidFill>
                </w14:textFill>
              </w:rPr>
              <w:t>□职业病防治宣传教育培训制度；</w:t>
            </w:r>
          </w:p>
          <w:p w14:paraId="2DDD7760">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□职业病防护设施维护检修制度；   </w:t>
            </w:r>
            <w:r>
              <w:rPr>
                <w:rFonts w:hint="eastAsia"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lang w:val="zh-CN"/>
                <w14:textFill>
                  <w14:solidFill>
                    <w14:schemeClr w14:val="tx1"/>
                  </w14:solidFill>
                </w14:textFill>
              </w:rPr>
              <w:t>□职业病防护用品管理制度；</w:t>
            </w:r>
          </w:p>
          <w:p w14:paraId="7592F818">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□职业病危害监测及评价管理制度； </w:t>
            </w:r>
            <w:r>
              <w:rPr>
                <w:rFonts w:hint="eastAsia"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lang w:val="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建设项目职业病防护设施“三同时”管理制度</w:t>
            </w:r>
            <w:r>
              <w:rPr>
                <w:rFonts w:hint="eastAsia" w:ascii="宋体" w:hAnsi="宋体" w:cs="宋体"/>
                <w:color w:val="000000" w:themeColor="text1"/>
                <w:sz w:val="18"/>
                <w:szCs w:val="18"/>
                <w:lang w:val="zh-CN"/>
                <w14:textFill>
                  <w14:solidFill>
                    <w14:schemeClr w14:val="tx1"/>
                  </w14:solidFill>
                </w14:textFill>
              </w:rPr>
              <w:t>；</w:t>
            </w:r>
          </w:p>
          <w:p w14:paraId="20ABD905">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□劳动者职业健康监护及其档案管理制度；□职业病危害事故处置与报告制度；</w:t>
            </w:r>
          </w:p>
          <w:p w14:paraId="192F7C1D">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□职业病危害应急救援与管理制度；</w:t>
            </w:r>
            <w:r>
              <w:rPr>
                <w:rFonts w:hint="eastAsia"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lang w:val="zh-CN"/>
                <w14:textFill>
                  <w14:solidFill>
                    <w14:schemeClr w14:val="tx1"/>
                  </w14:solidFill>
                </w14:textFill>
              </w:rPr>
              <w:t>□法律、法规、规章规定的其他职业病防治制度。</w:t>
            </w:r>
          </w:p>
          <w:p w14:paraId="24C47CE9">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□岗位职业卫生操作规程；</w:t>
            </w:r>
          </w:p>
        </w:tc>
      </w:tr>
    </w:tbl>
    <w:p w14:paraId="3A2006E2">
      <w:pPr>
        <w:pStyle w:val="60"/>
        <w:ind w:firstLine="420"/>
      </w:pPr>
    </w:p>
    <w:p w14:paraId="753E9FB7">
      <w:pPr>
        <w:pStyle w:val="60"/>
        <w:ind w:firstLine="420"/>
      </w:pPr>
    </w:p>
    <w:p w14:paraId="1DB87890">
      <w:pPr>
        <w:pStyle w:val="60"/>
        <w:ind w:firstLine="420"/>
      </w:pPr>
    </w:p>
    <w:p w14:paraId="58B04B76">
      <w:pPr>
        <w:pStyle w:val="60"/>
        <w:ind w:firstLine="420"/>
      </w:pPr>
    </w:p>
    <w:p w14:paraId="785F16F8">
      <w:pPr>
        <w:pStyle w:val="60"/>
        <w:ind w:firstLine="420"/>
      </w:pPr>
    </w:p>
    <w:p w14:paraId="5A2D874C">
      <w:pPr>
        <w:pStyle w:val="60"/>
        <w:ind w:firstLine="420"/>
      </w:pPr>
    </w:p>
    <w:p w14:paraId="52450184">
      <w:pPr>
        <w:pStyle w:val="60"/>
        <w:ind w:firstLine="420"/>
      </w:pPr>
    </w:p>
    <w:p w14:paraId="5500D35D">
      <w:pPr>
        <w:pStyle w:val="60"/>
        <w:ind w:firstLine="420"/>
      </w:pPr>
    </w:p>
    <w:p w14:paraId="0C6F5A4D">
      <w:pPr>
        <w:pStyle w:val="2"/>
        <w:spacing w:before="156" w:beforeLines="50" w:after="156" w:afterLines="50"/>
        <w:jc w:val="center"/>
        <w:outlineLvl w:val="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表A.1</w:t>
      </w:r>
      <w:r>
        <w:rPr>
          <w:rFonts w:hint="eastAsia"/>
          <w:color w:val="000000" w:themeColor="text1"/>
          <w14:textFill>
            <w14:solidFill>
              <w14:schemeClr w14:val="tx1"/>
            </w14:solidFill>
          </w14:textFill>
        </w:rPr>
        <w:t xml:space="preserve">  </w:t>
      </w:r>
      <w:r>
        <w:rPr>
          <w:rFonts w:hint="eastAsia" w:ascii="黑体" w:hAnsi="黑体" w:eastAsia="黑体" w:cs="黑体"/>
          <w:color w:val="000000" w:themeColor="text1"/>
          <w14:textFill>
            <w14:solidFill>
              <w14:schemeClr w14:val="tx1"/>
            </w14:solidFill>
          </w14:textFill>
        </w:rPr>
        <w:t>职业病危害现状调查表</w:t>
      </w:r>
      <w:r>
        <w:rPr>
          <w:rFonts w:hint="eastAsia"/>
          <w:color w:val="000000" w:themeColor="text1"/>
          <w14:textFill>
            <w14:solidFill>
              <w14:schemeClr w14:val="tx1"/>
            </w14:solidFill>
          </w14:textFill>
        </w:rPr>
        <w:t>（续）</w:t>
      </w:r>
    </w:p>
    <w:tbl>
      <w:tblPr>
        <w:tblStyle w:val="29"/>
        <w:tblW w:w="10075" w:type="dxa"/>
        <w:jc w:val="center"/>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965"/>
        <w:gridCol w:w="1177"/>
        <w:gridCol w:w="7933"/>
      </w:tblGrid>
      <w:tr w14:paraId="2D631E7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8" w:hRule="atLeast"/>
          <w:jc w:val="center"/>
        </w:trPr>
        <w:tc>
          <w:tcPr>
            <w:tcW w:w="965" w:type="dxa"/>
            <w:vMerge w:val="restart"/>
            <w:vAlign w:val="center"/>
          </w:tcPr>
          <w:p w14:paraId="15DCA4B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前期预防</w:t>
            </w:r>
          </w:p>
        </w:tc>
        <w:tc>
          <w:tcPr>
            <w:tcW w:w="1177" w:type="dxa"/>
            <w:vAlign w:val="center"/>
          </w:tcPr>
          <w:p w14:paraId="7E8CC20B">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601</w:t>
            </w:r>
          </w:p>
        </w:tc>
        <w:tc>
          <w:tcPr>
            <w:tcW w:w="7933" w:type="dxa"/>
            <w:vAlign w:val="center"/>
          </w:tcPr>
          <w:p w14:paraId="07CD3E40">
            <w:pPr>
              <w:snapToGrid w:val="0"/>
              <w:spacing w:line="240" w:lineRule="auto"/>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1.是否按照相关规定，及时、如实申报职业病危害项目：</w:t>
            </w:r>
            <w:r>
              <w:rPr>
                <w:rFonts w:hint="eastAsia" w:ascii="宋体" w:hAnsi="宋体" w:cs="宋体"/>
                <w:color w:val="000000" w:themeColor="text1"/>
                <w:kern w:val="0"/>
                <w:sz w:val="18"/>
                <w:szCs w:val="18"/>
                <w14:textFill>
                  <w14:solidFill>
                    <w14:schemeClr w14:val="tx1"/>
                  </w14:solidFill>
                </w14:textFill>
              </w:rPr>
              <w:t xml:space="preserve">□是  □否    </w:t>
            </w:r>
          </w:p>
          <w:p w14:paraId="676CDF7D">
            <w:pPr>
              <w:snapToGrid w:val="0"/>
              <w:spacing w:line="240" w:lineRule="auto"/>
              <w:rPr>
                <w:rFonts w:ascii="宋体" w:hAnsi="宋体" w:cs="宋体"/>
                <w:color w:val="000000" w:themeColor="text1"/>
                <w:kern w:val="0"/>
                <w:sz w:val="18"/>
                <w:szCs w:val="18"/>
                <w:u w:val="single"/>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最近一次申报日期：</w:t>
            </w:r>
            <w:r>
              <w:rPr>
                <w:rFonts w:hint="eastAsia" w:ascii="宋体" w:hAnsi="宋体" w:cs="宋体"/>
                <w:color w:val="000000" w:themeColor="text1"/>
                <w:kern w:val="0"/>
                <w:sz w:val="18"/>
                <w:szCs w:val="18"/>
                <w:u w:val="single"/>
                <w14:textFill>
                  <w14:solidFill>
                    <w14:schemeClr w14:val="tx1"/>
                  </w14:solidFill>
                </w14:textFill>
              </w:rPr>
              <w:t xml:space="preserve">                 </w:t>
            </w:r>
          </w:p>
        </w:tc>
      </w:tr>
      <w:tr w14:paraId="58AE9ED2">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5859EE36">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6E33098A">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602</w:t>
            </w:r>
          </w:p>
        </w:tc>
        <w:tc>
          <w:tcPr>
            <w:tcW w:w="7933" w:type="dxa"/>
            <w:vAlign w:val="center"/>
          </w:tcPr>
          <w:p w14:paraId="77B7160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是否规范开展建设项目职业病防护设施“三同时”工作：  </w:t>
            </w:r>
            <w:r>
              <w:rPr>
                <w:rFonts w:hint="eastAsia" w:ascii="宋体" w:hAnsi="宋体" w:cs="宋体"/>
                <w:color w:val="000000" w:themeColor="text1"/>
                <w:kern w:val="0"/>
                <w:sz w:val="18"/>
                <w:szCs w:val="18"/>
                <w14:textFill>
                  <w14:solidFill>
                    <w14:schemeClr w14:val="tx1"/>
                  </w14:solidFill>
                </w14:textFill>
              </w:rPr>
              <w:t xml:space="preserve">□是  □否 </w:t>
            </w:r>
          </w:p>
        </w:tc>
      </w:tr>
      <w:tr w14:paraId="59E8F777">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682D03D3">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634ACAFE">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603</w:t>
            </w:r>
          </w:p>
        </w:tc>
        <w:tc>
          <w:tcPr>
            <w:tcW w:w="7933" w:type="dxa"/>
          </w:tcPr>
          <w:p w14:paraId="00F701FB">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1.作业场所与生活场所是否分开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p w14:paraId="79F4EAC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2.有害作业与无害作业是否分开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p w14:paraId="5BB62B9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3.高毒作业场所与其它作业场所是否隔离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  □未涉及</w:t>
            </w:r>
          </w:p>
        </w:tc>
      </w:tr>
      <w:tr w14:paraId="4CE33EC1">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69549252">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2C4E9D05">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604</w:t>
            </w:r>
          </w:p>
        </w:tc>
        <w:tc>
          <w:tcPr>
            <w:tcW w:w="7933" w:type="dxa"/>
            <w:vAlign w:val="center"/>
          </w:tcPr>
          <w:p w14:paraId="44A0ECC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是否根据工业企业生产特点、实际需要和使用方便的原则设置辅助用室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5A6E53E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30D7919D">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63AA2DC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605</w:t>
            </w:r>
          </w:p>
        </w:tc>
        <w:tc>
          <w:tcPr>
            <w:tcW w:w="7933" w:type="dxa"/>
            <w:vAlign w:val="center"/>
          </w:tcPr>
          <w:p w14:paraId="0D710C85">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是否使用国家明令禁止使用的可能产生职业病危害的设备或者材料。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□是  □否</w:t>
            </w:r>
          </w:p>
        </w:tc>
      </w:tr>
      <w:tr w14:paraId="7262506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1A44DA04">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2F5F0616">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606</w:t>
            </w:r>
          </w:p>
        </w:tc>
        <w:tc>
          <w:tcPr>
            <w:tcW w:w="7933" w:type="dxa"/>
            <w:vAlign w:val="center"/>
          </w:tcPr>
          <w:p w14:paraId="2D3576C6">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生产、销售、使用、贮存放射性同位素和射线装置的场所是否按照规定在放射工作场所配备防护设备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 xml:space="preserve">□是  □否 </w:t>
            </w:r>
            <w:r>
              <w:rPr>
                <w:rFonts w:ascii="宋体" w:hAnsi="宋体" w:cs="宋体"/>
                <w:color w:val="000000" w:themeColor="text1"/>
                <w:kern w:val="0"/>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□未涉及</w:t>
            </w:r>
          </w:p>
        </w:tc>
      </w:tr>
      <w:tr w14:paraId="021E48D2">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38" w:hRule="atLeast"/>
          <w:jc w:val="center"/>
        </w:trPr>
        <w:tc>
          <w:tcPr>
            <w:tcW w:w="965" w:type="dxa"/>
            <w:vMerge w:val="continue"/>
            <w:vAlign w:val="center"/>
          </w:tcPr>
          <w:p w14:paraId="0D2EEBB6">
            <w:pPr>
              <w:snapToGrid w:val="0"/>
              <w:spacing w:line="240" w:lineRule="auto"/>
              <w:rPr>
                <w:rFonts w:ascii="宋体" w:hAnsi="宋体" w:cs="宋体"/>
                <w:color w:val="000000" w:themeColor="text1"/>
                <w:sz w:val="18"/>
                <w:szCs w:val="18"/>
                <w14:textFill>
                  <w14:solidFill>
                    <w14:schemeClr w14:val="tx1"/>
                  </w14:solidFill>
                </w14:textFill>
              </w:rPr>
            </w:pPr>
          </w:p>
        </w:tc>
        <w:tc>
          <w:tcPr>
            <w:tcW w:w="1177" w:type="dxa"/>
            <w:vAlign w:val="center"/>
          </w:tcPr>
          <w:p w14:paraId="09DFD173">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607</w:t>
            </w:r>
          </w:p>
        </w:tc>
        <w:tc>
          <w:tcPr>
            <w:tcW w:w="7933" w:type="dxa"/>
            <w:vAlign w:val="center"/>
          </w:tcPr>
          <w:p w14:paraId="776AC866">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1.是否</w:t>
            </w:r>
            <w:r>
              <w:rPr>
                <w:rFonts w:ascii="宋体" w:hAnsi="宋体" w:cs="宋体"/>
                <w:color w:val="000000" w:themeColor="text1"/>
                <w:sz w:val="18"/>
                <w:szCs w:val="18"/>
                <w14:textFill>
                  <w14:solidFill>
                    <w14:schemeClr w14:val="tx1"/>
                  </w14:solidFill>
                </w14:textFill>
              </w:rPr>
              <w:t>转移职业病危害作业给不具备职业病防护条件单位和个人</w:t>
            </w:r>
            <w:r>
              <w:rPr>
                <w:rFonts w:hint="eastAsia" w:ascii="宋体" w:hAnsi="宋体" w:cs="宋体"/>
                <w:color w:val="000000" w:themeColor="text1"/>
                <w:sz w:val="18"/>
                <w:szCs w:val="18"/>
                <w14:textFill>
                  <w14:solidFill>
                    <w14:schemeClr w14:val="tx1"/>
                  </w14:solidFill>
                </w14:textFill>
              </w:rPr>
              <w:t xml:space="preserve">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p w14:paraId="1CA5AC78">
            <w:pPr>
              <w:pStyle w:val="15"/>
              <w:spacing w:line="240" w:lineRule="auto"/>
              <w:rPr>
                <w:color w:val="000000" w:themeColor="text1"/>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2.是否</w:t>
            </w:r>
            <w:r>
              <w:rPr>
                <w:rFonts w:ascii="宋体" w:hAnsi="宋体" w:cs="宋体"/>
                <w:color w:val="000000" w:themeColor="text1"/>
                <w:sz w:val="18"/>
                <w:szCs w:val="18"/>
                <w14:textFill>
                  <w14:solidFill>
                    <w14:schemeClr w14:val="tx1"/>
                  </w14:solidFill>
                </w14:textFill>
              </w:rPr>
              <w:t>接受不具备防护条件的职业病危害的作业</w:t>
            </w:r>
            <w:r>
              <w:rPr>
                <w:rFonts w:hint="eastAsia" w:ascii="宋体" w:hAnsi="宋体" w:cs="宋体"/>
                <w:color w:val="000000" w:themeColor="text1"/>
                <w:sz w:val="18"/>
                <w:szCs w:val="18"/>
                <w14:textFill>
                  <w14:solidFill>
                    <w14:schemeClr w14:val="tx1"/>
                  </w14:solidFill>
                </w14:textFill>
              </w:rPr>
              <w:t xml:space="preserve">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2F749E4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95" w:hRule="atLeast"/>
          <w:jc w:val="center"/>
        </w:trPr>
        <w:tc>
          <w:tcPr>
            <w:tcW w:w="965" w:type="dxa"/>
            <w:vMerge w:val="restart"/>
            <w:vAlign w:val="center"/>
          </w:tcPr>
          <w:p w14:paraId="78237119">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职业健康培训情况</w:t>
            </w:r>
          </w:p>
        </w:tc>
        <w:tc>
          <w:tcPr>
            <w:tcW w:w="1177" w:type="dxa"/>
            <w:vAlign w:val="center"/>
          </w:tcPr>
          <w:p w14:paraId="65B16CF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701</w:t>
            </w:r>
          </w:p>
        </w:tc>
        <w:tc>
          <w:tcPr>
            <w:tcW w:w="7933" w:type="dxa"/>
            <w:vAlign w:val="center"/>
          </w:tcPr>
          <w:p w14:paraId="6408153C">
            <w:pPr>
              <w:snapToGrid w:val="0"/>
              <w:spacing w:line="240" w:lineRule="auto"/>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企业负责人</w:t>
            </w:r>
            <w:r>
              <w:rPr>
                <w:rFonts w:hint="eastAsia" w:ascii="宋体" w:hAnsi="宋体" w:cs="宋体"/>
                <w:color w:val="000000" w:themeColor="text1"/>
                <w:sz w:val="18"/>
                <w:szCs w:val="18"/>
                <w:lang w:val="zh-CN"/>
                <w14:textFill>
                  <w14:solidFill>
                    <w14:schemeClr w14:val="tx1"/>
                  </w14:solidFill>
                </w14:textFill>
              </w:rPr>
              <w:t>是否接受职业健康培训</w:t>
            </w:r>
            <w:r>
              <w:rPr>
                <w:rFonts w:hint="eastAsia"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 xml:space="preserve">□是  □否  </w:t>
            </w:r>
          </w:p>
          <w:p w14:paraId="35BA9E6E">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最近一次培训时间</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，组织培训部门：</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tc>
      </w:tr>
      <w:tr w14:paraId="143FD04E">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61" w:hRule="atLeast"/>
          <w:jc w:val="center"/>
        </w:trPr>
        <w:tc>
          <w:tcPr>
            <w:tcW w:w="965" w:type="dxa"/>
            <w:vMerge w:val="continue"/>
            <w:vAlign w:val="center"/>
          </w:tcPr>
          <w:p w14:paraId="1A91BBA9">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12F4474">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702</w:t>
            </w:r>
          </w:p>
        </w:tc>
        <w:tc>
          <w:tcPr>
            <w:tcW w:w="7933" w:type="dxa"/>
            <w:vAlign w:val="center"/>
          </w:tcPr>
          <w:p w14:paraId="5662FA6C">
            <w:pPr>
              <w:snapToGrid w:val="0"/>
              <w:spacing w:line="240" w:lineRule="auto"/>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职业卫生管理人员是否</w:t>
            </w:r>
            <w:r>
              <w:rPr>
                <w:rFonts w:hint="eastAsia" w:ascii="宋体" w:hAnsi="宋体" w:cs="宋体"/>
                <w:color w:val="000000" w:themeColor="text1"/>
                <w:sz w:val="18"/>
                <w:szCs w:val="18"/>
                <w:lang w:val="zh-CN"/>
                <w14:textFill>
                  <w14:solidFill>
                    <w14:schemeClr w14:val="tx1"/>
                  </w14:solidFill>
                </w14:textFill>
              </w:rPr>
              <w:t>接受职业健康培训</w:t>
            </w:r>
            <w:r>
              <w:rPr>
                <w:rFonts w:hint="eastAsia"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 xml:space="preserve">□是  □否  </w:t>
            </w:r>
          </w:p>
          <w:p w14:paraId="1B984A8E">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最近一次培训时间</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，组织培训部门：</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tc>
      </w:tr>
      <w:tr w14:paraId="7FF29C0D">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858" w:hRule="atLeast"/>
          <w:jc w:val="center"/>
        </w:trPr>
        <w:tc>
          <w:tcPr>
            <w:tcW w:w="965" w:type="dxa"/>
            <w:vMerge w:val="continue"/>
            <w:vAlign w:val="center"/>
          </w:tcPr>
          <w:p w14:paraId="45431E99">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4AE98875">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703</w:t>
            </w:r>
          </w:p>
        </w:tc>
        <w:tc>
          <w:tcPr>
            <w:tcW w:w="7933" w:type="dxa"/>
            <w:vAlign w:val="center"/>
          </w:tcPr>
          <w:p w14:paraId="1699C920">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1.是否按照规定组织劳动者进行职业健康培训： </w:t>
            </w:r>
            <w:r>
              <w:rPr>
                <w:rFonts w:ascii="宋体" w:hAnsi="宋体" w:cs="宋体"/>
                <w:color w:val="000000" w:themeColor="text1"/>
                <w:sz w:val="18"/>
                <w:szCs w:val="18"/>
                <w:lang w:val="zh-CN"/>
                <w14:textFill>
                  <w14:solidFill>
                    <w14:schemeClr w14:val="tx1"/>
                  </w14:solidFill>
                </w14:textFill>
              </w:rPr>
              <w:t xml:space="preserve">   </w:t>
            </w:r>
          </w:p>
          <w:p w14:paraId="611DB97B">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□全部培训，共</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□部分培训，共</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□未培训</w:t>
            </w:r>
          </w:p>
          <w:p w14:paraId="1132005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2.培训内容、学时是否符合相关法律法规要求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213F8E35">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466323FE">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6ADE7005">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704</w:t>
            </w:r>
          </w:p>
        </w:tc>
        <w:tc>
          <w:tcPr>
            <w:tcW w:w="7933" w:type="dxa"/>
            <w:vAlign w:val="center"/>
          </w:tcPr>
          <w:p w14:paraId="5CE411A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接触放射性设备和材料作业人员是否取得放射防护培训合格证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□是  □否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□未涉及</w:t>
            </w:r>
          </w:p>
        </w:tc>
      </w:tr>
      <w:tr w14:paraId="5C289E5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restart"/>
            <w:vAlign w:val="center"/>
          </w:tcPr>
          <w:p w14:paraId="2F4A0DF8">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近3年职业病危害因素定期检测与现状评价情况</w:t>
            </w:r>
          </w:p>
        </w:tc>
        <w:tc>
          <w:tcPr>
            <w:tcW w:w="1177" w:type="dxa"/>
            <w:vAlign w:val="center"/>
          </w:tcPr>
          <w:p w14:paraId="0721AAE8">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801</w:t>
            </w:r>
          </w:p>
        </w:tc>
        <w:tc>
          <w:tcPr>
            <w:tcW w:w="7933" w:type="dxa"/>
            <w:vAlign w:val="center"/>
          </w:tcPr>
          <w:p w14:paraId="19A515CF">
            <w:pPr>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近三年开展职业病危害因素检测情况：</w:t>
            </w:r>
          </w:p>
          <w:p w14:paraId="1260D4AF">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均未检测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第1年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第2年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第3年 </w:t>
            </w:r>
          </w:p>
        </w:tc>
      </w:tr>
      <w:tr w14:paraId="6911F069">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3A5BEB90">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672AB7E7">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802</w:t>
            </w:r>
          </w:p>
        </w:tc>
        <w:tc>
          <w:tcPr>
            <w:tcW w:w="7933" w:type="dxa"/>
            <w:vAlign w:val="center"/>
          </w:tcPr>
          <w:p w14:paraId="67B381B9">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最近一次检测（评价）报告编号：</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p w14:paraId="75303BE4">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检测（评价）时间：</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；检测（评价）机构名称：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 </w:t>
            </w:r>
          </w:p>
        </w:tc>
      </w:tr>
      <w:tr w14:paraId="60472233">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2E91F505">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426B75E9">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803</w:t>
            </w:r>
          </w:p>
        </w:tc>
        <w:tc>
          <w:tcPr>
            <w:tcW w:w="7933" w:type="dxa"/>
            <w:vAlign w:val="center"/>
          </w:tcPr>
          <w:p w14:paraId="396ED4A5">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已开展检测情况：</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全面检测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部分检测 </w:t>
            </w:r>
          </w:p>
        </w:tc>
      </w:tr>
      <w:tr w14:paraId="5F4A7A4A">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7414C9DA">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2FA2C9BB">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804</w:t>
            </w:r>
          </w:p>
        </w:tc>
        <w:tc>
          <w:tcPr>
            <w:tcW w:w="7933" w:type="dxa"/>
            <w:vAlign w:val="center"/>
          </w:tcPr>
          <w:p w14:paraId="2EB812C3">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粉尘检测：场所检测点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个；检测岗位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w:t>
            </w:r>
          </w:p>
        </w:tc>
      </w:tr>
      <w:tr w14:paraId="7447BE15">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358E426F">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169FF02">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805</w:t>
            </w:r>
          </w:p>
        </w:tc>
        <w:tc>
          <w:tcPr>
            <w:tcW w:w="7933" w:type="dxa"/>
            <w:vAlign w:val="center"/>
          </w:tcPr>
          <w:p w14:paraId="3B79E8D4">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化学毒物检测：</w:t>
            </w:r>
            <w:bookmarkStart w:id="422" w:name="OLE_LINK21"/>
            <w:r>
              <w:rPr>
                <w:rFonts w:hint="eastAsia" w:ascii="宋体" w:hAnsi="宋体" w:cs="宋体"/>
                <w:color w:val="000000" w:themeColor="text1"/>
                <w:sz w:val="18"/>
                <w:szCs w:val="18"/>
                <w14:textFill>
                  <w14:solidFill>
                    <w14:schemeClr w14:val="tx1"/>
                  </w14:solidFill>
                </w14:textFill>
              </w:rPr>
              <w:t>场所检测点</w:t>
            </w:r>
            <w:bookmarkStart w:id="423" w:name="OLE_LINK19"/>
            <w:bookmarkStart w:id="424" w:name="OLE_LINK20"/>
            <w:r>
              <w:rPr>
                <w:rFonts w:hint="eastAsia" w:ascii="宋体" w:hAnsi="宋体" w:cs="宋体"/>
                <w:color w:val="000000" w:themeColor="text1"/>
                <w:sz w:val="18"/>
                <w:szCs w:val="18"/>
                <w:u w:val="single"/>
                <w14:textFill>
                  <w14:solidFill>
                    <w14:schemeClr w14:val="tx1"/>
                  </w14:solidFill>
                </w14:textFill>
              </w:rPr>
              <w:t xml:space="preserve">     </w:t>
            </w:r>
            <w:bookmarkEnd w:id="423"/>
            <w:bookmarkEnd w:id="424"/>
            <w:r>
              <w:rPr>
                <w:rFonts w:hint="eastAsia" w:ascii="宋体" w:hAnsi="宋体" w:cs="宋体"/>
                <w:color w:val="000000" w:themeColor="text1"/>
                <w:sz w:val="18"/>
                <w:szCs w:val="18"/>
                <w14:textFill>
                  <w14:solidFill>
                    <w14:schemeClr w14:val="tx1"/>
                  </w14:solidFill>
                </w14:textFill>
              </w:rPr>
              <w:t>个，超标点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个；检测岗位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w:t>
            </w:r>
            <w:bookmarkEnd w:id="422"/>
          </w:p>
        </w:tc>
      </w:tr>
      <w:tr w14:paraId="57DC28E4">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4A122876">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047B9749">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806</w:t>
            </w:r>
          </w:p>
        </w:tc>
        <w:tc>
          <w:tcPr>
            <w:tcW w:w="7933" w:type="dxa"/>
            <w:vAlign w:val="center"/>
          </w:tcPr>
          <w:p w14:paraId="10D4496A">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高温检测：场所检测点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个；检测岗位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w:t>
            </w:r>
          </w:p>
        </w:tc>
      </w:tr>
      <w:tr w14:paraId="44029BF0">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5FDFA51F">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0B4BF58">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807</w:t>
            </w:r>
          </w:p>
        </w:tc>
        <w:tc>
          <w:tcPr>
            <w:tcW w:w="7933" w:type="dxa"/>
            <w:vAlign w:val="center"/>
          </w:tcPr>
          <w:p w14:paraId="13BB9557">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噪声检测：场所检测点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个，超标点</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个；检测岗位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个，超标岗位</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个。</w:t>
            </w:r>
          </w:p>
        </w:tc>
      </w:tr>
      <w:tr w14:paraId="14DA84CD">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63310A4F">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458611AA">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808</w:t>
            </w:r>
          </w:p>
        </w:tc>
        <w:tc>
          <w:tcPr>
            <w:tcW w:w="7933" w:type="dxa"/>
            <w:vAlign w:val="center"/>
          </w:tcPr>
          <w:p w14:paraId="54BE129D">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是否按规定开展现状评价工作：</w:t>
            </w:r>
            <w:r>
              <w:rPr>
                <w:rFonts w:hint="eastAsia" w:ascii="宋体" w:hAnsi="宋体" w:cs="宋体"/>
                <w:color w:val="000000" w:themeColor="text1"/>
                <w:kern w:val="0"/>
                <w:sz w:val="18"/>
                <w:szCs w:val="18"/>
                <w14:textFill>
                  <w14:solidFill>
                    <w14:schemeClr w14:val="tx1"/>
                  </w14:solidFill>
                </w14:textFill>
              </w:rPr>
              <w:t xml:space="preserve">□否 </w:t>
            </w:r>
            <w:r>
              <w:rPr>
                <w:rFonts w:ascii="宋体" w:hAnsi="宋体" w:cs="宋体"/>
                <w:color w:val="000000" w:themeColor="text1"/>
                <w:kern w:val="0"/>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□是  最近一次现状评价时间：</w:t>
            </w:r>
            <w:r>
              <w:rPr>
                <w:rFonts w:hint="eastAsia" w:ascii="宋体" w:hAnsi="宋体" w:cs="宋体"/>
                <w:color w:val="000000" w:themeColor="text1"/>
                <w:kern w:val="0"/>
                <w:sz w:val="18"/>
                <w:szCs w:val="18"/>
                <w:u w:val="single"/>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 xml:space="preserve">      </w:t>
            </w:r>
          </w:p>
        </w:tc>
      </w:tr>
    </w:tbl>
    <w:p w14:paraId="16D571D2">
      <w:pPr>
        <w:pStyle w:val="60"/>
        <w:tabs>
          <w:tab w:val="left" w:pos="1274"/>
        </w:tabs>
        <w:ind w:firstLine="420"/>
      </w:pPr>
      <w:r>
        <w:tab/>
      </w:r>
    </w:p>
    <w:p w14:paraId="7748F2C3">
      <w:pPr>
        <w:pStyle w:val="60"/>
        <w:tabs>
          <w:tab w:val="left" w:pos="1274"/>
        </w:tabs>
        <w:ind w:firstLine="420"/>
      </w:pPr>
    </w:p>
    <w:p w14:paraId="042CEAD0">
      <w:pPr>
        <w:pStyle w:val="60"/>
        <w:tabs>
          <w:tab w:val="left" w:pos="1274"/>
        </w:tabs>
        <w:ind w:firstLine="420"/>
      </w:pPr>
    </w:p>
    <w:p w14:paraId="0030B33E">
      <w:pPr>
        <w:pStyle w:val="60"/>
        <w:tabs>
          <w:tab w:val="left" w:pos="1274"/>
        </w:tabs>
        <w:ind w:firstLine="420"/>
      </w:pPr>
    </w:p>
    <w:p w14:paraId="00C362D0">
      <w:pPr>
        <w:pStyle w:val="2"/>
        <w:spacing w:before="156" w:beforeLines="50" w:after="156" w:afterLines="50"/>
        <w:jc w:val="center"/>
        <w:outlineLvl w:val="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表A.1</w:t>
      </w:r>
      <w:r>
        <w:rPr>
          <w:rFonts w:hint="eastAsia"/>
          <w:color w:val="000000" w:themeColor="text1"/>
          <w14:textFill>
            <w14:solidFill>
              <w14:schemeClr w14:val="tx1"/>
            </w14:solidFill>
          </w14:textFill>
        </w:rPr>
        <w:t xml:space="preserve">  </w:t>
      </w:r>
      <w:r>
        <w:rPr>
          <w:rFonts w:hint="eastAsia" w:ascii="黑体" w:hAnsi="黑体" w:eastAsia="黑体" w:cs="黑体"/>
          <w:color w:val="000000" w:themeColor="text1"/>
          <w14:textFill>
            <w14:solidFill>
              <w14:schemeClr w14:val="tx1"/>
            </w14:solidFill>
          </w14:textFill>
        </w:rPr>
        <w:t>职业病危害现状调查表</w:t>
      </w:r>
      <w:r>
        <w:rPr>
          <w:rFonts w:hint="eastAsia"/>
          <w:color w:val="000000" w:themeColor="text1"/>
          <w14:textFill>
            <w14:solidFill>
              <w14:schemeClr w14:val="tx1"/>
            </w14:solidFill>
          </w14:textFill>
        </w:rPr>
        <w:t>（续）</w:t>
      </w:r>
    </w:p>
    <w:tbl>
      <w:tblPr>
        <w:tblStyle w:val="29"/>
        <w:tblW w:w="10075" w:type="dxa"/>
        <w:jc w:val="center"/>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965"/>
        <w:gridCol w:w="1177"/>
        <w:gridCol w:w="7933"/>
      </w:tblGrid>
      <w:tr w14:paraId="76154BFE">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restart"/>
            <w:vAlign w:val="center"/>
          </w:tcPr>
          <w:p w14:paraId="322E004C">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职业病防护设施、用品配备情况</w:t>
            </w:r>
          </w:p>
        </w:tc>
        <w:tc>
          <w:tcPr>
            <w:tcW w:w="1177" w:type="dxa"/>
            <w:vAlign w:val="center"/>
          </w:tcPr>
          <w:p w14:paraId="4389E9FE">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901</w:t>
            </w:r>
          </w:p>
        </w:tc>
        <w:tc>
          <w:tcPr>
            <w:tcW w:w="7933" w:type="dxa"/>
            <w:vAlign w:val="center"/>
          </w:tcPr>
          <w:p w14:paraId="0F6E657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是否按标准配发符合防治职业病要求的PPE：</w:t>
            </w:r>
          </w:p>
          <w:p w14:paraId="4DB40330">
            <w:pPr>
              <w:snapToGrid w:val="0"/>
              <w:spacing w:line="240" w:lineRule="auto"/>
              <w:jc w:val="left"/>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□是  □否</w:t>
            </w:r>
          </w:p>
        </w:tc>
      </w:tr>
      <w:tr w14:paraId="1A0B274B">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5203160A">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5C069D71">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902</w:t>
            </w:r>
          </w:p>
        </w:tc>
        <w:tc>
          <w:tcPr>
            <w:tcW w:w="7933" w:type="dxa"/>
            <w:vAlign w:val="center"/>
          </w:tcPr>
          <w:p w14:paraId="1941AAEE">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现场PPE配发情况：</w:t>
            </w:r>
          </w:p>
          <w:p w14:paraId="6A9AF09A">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 应发数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2 实发数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3676C9F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5ADD27F9">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D89672B">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903</w:t>
            </w:r>
          </w:p>
        </w:tc>
        <w:tc>
          <w:tcPr>
            <w:tcW w:w="7933" w:type="dxa"/>
            <w:vAlign w:val="center"/>
          </w:tcPr>
          <w:p w14:paraId="656D81C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1.是否督促、指导劳动者按照使用规则正确佩戴、使用职业病防护用品；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p w14:paraId="52699A6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2.现场（抽查）PPE佩戴情况：佩戴人数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人；正确佩戴人数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人。 </w:t>
            </w:r>
          </w:p>
        </w:tc>
      </w:tr>
      <w:tr w14:paraId="5C56080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2675B223">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0D01D48C">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904</w:t>
            </w:r>
          </w:p>
        </w:tc>
        <w:tc>
          <w:tcPr>
            <w:tcW w:w="7933" w:type="dxa"/>
            <w:vAlign w:val="center"/>
          </w:tcPr>
          <w:p w14:paraId="7DC93DA3">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是否对职业病防护用品进行经常性的维护、保养：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0E997FD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5B5BF3D7">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0A77319C">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905</w:t>
            </w:r>
          </w:p>
        </w:tc>
        <w:tc>
          <w:tcPr>
            <w:tcW w:w="7933" w:type="dxa"/>
            <w:vAlign w:val="center"/>
          </w:tcPr>
          <w:p w14:paraId="350C3230">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接触放射线的工作人员是否佩戴个人剂量计：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□是  □否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□未涉及</w:t>
            </w:r>
          </w:p>
        </w:tc>
      </w:tr>
      <w:tr w14:paraId="156A8558">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01B9D080">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266BD044">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906</w:t>
            </w:r>
          </w:p>
        </w:tc>
        <w:tc>
          <w:tcPr>
            <w:tcW w:w="7933" w:type="dxa"/>
          </w:tcPr>
          <w:p w14:paraId="32E67E1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已在可能发生急性职业损伤的有毒有害工作场所设置/配置：</w:t>
            </w:r>
          </w:p>
          <w:p w14:paraId="26D95D8A">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□报警装置</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□现场急救用品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□冲洗设备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□应急撤离通道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□必要的泄险区</w:t>
            </w:r>
          </w:p>
          <w:p w14:paraId="500A02C7">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□以上均未设置/配置</w:t>
            </w:r>
          </w:p>
        </w:tc>
      </w:tr>
      <w:tr w14:paraId="11B374B8">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4F68F274">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3A548C1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907</w:t>
            </w:r>
          </w:p>
        </w:tc>
        <w:tc>
          <w:tcPr>
            <w:tcW w:w="7933" w:type="dxa"/>
          </w:tcPr>
          <w:p w14:paraId="6E2E937A">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1.应急救援设施是否完好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p w14:paraId="75D4C0F7">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2.是否对急救援设施进行经常性的维护、检修和保养，定期检测其性能和效果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0F9E5722">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0A21B255">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798C760A">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908</w:t>
            </w:r>
          </w:p>
        </w:tc>
        <w:tc>
          <w:tcPr>
            <w:tcW w:w="7933" w:type="dxa"/>
            <w:vAlign w:val="center"/>
          </w:tcPr>
          <w:p w14:paraId="67DE1DC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是否建立、健全职业病危害事故应急救援预案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4F6B6B2E">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1339278C">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51F631D0">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909</w:t>
            </w:r>
          </w:p>
        </w:tc>
        <w:tc>
          <w:tcPr>
            <w:tcW w:w="7933" w:type="dxa"/>
            <w:vAlign w:val="center"/>
          </w:tcPr>
          <w:p w14:paraId="0D05044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 xml:space="preserve">是否定期规范开展职业病危害事故应急救援专项演练 </w:t>
            </w:r>
            <w:r>
              <w:rPr>
                <w:rFonts w:ascii="宋体" w:hAnsi="宋体" w:cs="宋体"/>
                <w:color w:val="000000" w:themeColor="text1"/>
                <w:kern w:val="0"/>
                <w:sz w:val="18"/>
                <w:szCs w:val="18"/>
                <w:shd w:val="clear" w:color="auto" w:fill="FFFFFF"/>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w:t>
            </w:r>
          </w:p>
        </w:tc>
      </w:tr>
      <w:tr w14:paraId="60306799">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restart"/>
            <w:vAlign w:val="center"/>
          </w:tcPr>
          <w:p w14:paraId="242C1E3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职业病危害告知情况</w:t>
            </w:r>
          </w:p>
        </w:tc>
        <w:tc>
          <w:tcPr>
            <w:tcW w:w="1177" w:type="dxa"/>
            <w:vAlign w:val="center"/>
          </w:tcPr>
          <w:p w14:paraId="7E53EAE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1001</w:t>
            </w:r>
          </w:p>
        </w:tc>
        <w:tc>
          <w:tcPr>
            <w:tcW w:w="7933" w:type="dxa"/>
            <w:vAlign w:val="center"/>
          </w:tcPr>
          <w:p w14:paraId="1CDBB6E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职业危害岗位劳动合同告知情况：</w:t>
            </w:r>
          </w:p>
          <w:p w14:paraId="4FC075F9">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未告知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部分告知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全面告知 </w:t>
            </w:r>
          </w:p>
        </w:tc>
      </w:tr>
      <w:tr w14:paraId="4C2210D8">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7418D30C">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2E22B8A7">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1002</w:t>
            </w:r>
          </w:p>
        </w:tc>
        <w:tc>
          <w:tcPr>
            <w:tcW w:w="7933" w:type="dxa"/>
            <w:vAlign w:val="center"/>
          </w:tcPr>
          <w:p w14:paraId="43DDC17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订立或变更劳动合同时，职业病危害告知情况：</w:t>
            </w:r>
          </w:p>
          <w:p w14:paraId="4D8223B2">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□未告知     □部分告知     □全面告知    □未涉及</w:t>
            </w:r>
          </w:p>
        </w:tc>
      </w:tr>
      <w:tr w14:paraId="6CAA8EDC">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6D4894C2">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176798E4">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w:t>
            </w:r>
          </w:p>
        </w:tc>
        <w:tc>
          <w:tcPr>
            <w:tcW w:w="7933" w:type="dxa"/>
            <w:vAlign w:val="center"/>
          </w:tcPr>
          <w:p w14:paraId="247BF855">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职业卫生公告栏内容</w:t>
            </w:r>
            <w:r>
              <w:rPr>
                <w:rFonts w:hint="eastAsia" w:ascii="宋体" w:hAnsi="宋体" w:cs="宋体"/>
                <w:color w:val="000000" w:themeColor="text1"/>
                <w:sz w:val="18"/>
                <w:szCs w:val="18"/>
                <w14:textFill>
                  <w14:solidFill>
                    <w14:schemeClr w14:val="tx1"/>
                  </w14:solidFill>
                </w14:textFill>
              </w:rPr>
              <w:t>设置情况：</w:t>
            </w:r>
          </w:p>
          <w:p w14:paraId="7961F9D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未设置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部分设置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全面设置 </w:t>
            </w:r>
          </w:p>
        </w:tc>
      </w:tr>
      <w:tr w14:paraId="766EE45B">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6CC24922">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4FFBDAE4">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1004</w:t>
            </w:r>
          </w:p>
        </w:tc>
        <w:tc>
          <w:tcPr>
            <w:tcW w:w="7933" w:type="dxa"/>
            <w:vAlign w:val="center"/>
          </w:tcPr>
          <w:p w14:paraId="219B390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职业健康检查结果书面告知情况：</w:t>
            </w:r>
          </w:p>
          <w:p w14:paraId="02567B6B">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未告知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部分告知     </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全面告知 </w:t>
            </w:r>
          </w:p>
        </w:tc>
      </w:tr>
      <w:tr w14:paraId="728220B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restart"/>
            <w:vAlign w:val="center"/>
          </w:tcPr>
          <w:p w14:paraId="7FC50DCC">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职业健康监护情况</w:t>
            </w:r>
          </w:p>
        </w:tc>
        <w:tc>
          <w:tcPr>
            <w:tcW w:w="1177" w:type="dxa"/>
            <w:vAlign w:val="center"/>
          </w:tcPr>
          <w:p w14:paraId="48E99ED5">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1101</w:t>
            </w:r>
          </w:p>
        </w:tc>
        <w:tc>
          <w:tcPr>
            <w:tcW w:w="7933" w:type="dxa"/>
            <w:vAlign w:val="center"/>
          </w:tcPr>
          <w:p w14:paraId="2E10677F">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上岗前职业健康检查情况：</w:t>
            </w:r>
          </w:p>
          <w:p w14:paraId="339F84F7">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上一年度，应检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人；当年，应检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5668138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在岗期间职业健康检查情况：</w:t>
            </w:r>
          </w:p>
          <w:p w14:paraId="7C85811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上一年度，应检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人；当年，应检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2F38D76C">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离岗时职业健康检查情况：        </w:t>
            </w:r>
          </w:p>
          <w:p w14:paraId="025149A1">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上一年度，应检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人；当年，应检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415F63E3">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2D4689C6">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56AD5765">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1102</w:t>
            </w:r>
          </w:p>
        </w:tc>
        <w:tc>
          <w:tcPr>
            <w:tcW w:w="7933" w:type="dxa"/>
            <w:vAlign w:val="center"/>
          </w:tcPr>
          <w:p w14:paraId="2FE260AE">
            <w:pPr>
              <w:snapToGrid w:val="0"/>
              <w:spacing w:line="240" w:lineRule="auto"/>
              <w:rPr>
                <w:rFonts w:ascii="宋体" w:hAnsi="宋体" w:cs="宋体"/>
                <w:color w:val="000000" w:themeColor="text1"/>
                <w:sz w:val="18"/>
                <w:szCs w:val="18"/>
                <w:u w:val="single"/>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最近一次在岗期间职业健康体检报告编号：</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p w14:paraId="071E3E1E">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体检时间：</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；体检机构名称：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w:t>
            </w:r>
          </w:p>
        </w:tc>
      </w:tr>
      <w:tr w14:paraId="4B518F10">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141B74C4">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731CDD92">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1103</w:t>
            </w:r>
          </w:p>
        </w:tc>
        <w:tc>
          <w:tcPr>
            <w:tcW w:w="7933" w:type="dxa"/>
            <w:vAlign w:val="center"/>
          </w:tcPr>
          <w:p w14:paraId="63E52DB7">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最近一次在岗期间职业健康检查总人数：应检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人；实检</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人。其中：</w:t>
            </w:r>
          </w:p>
          <w:p w14:paraId="2B18D361">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 接触粉尘检查人数：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粉尘检查异常人数：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7B62A3F8">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 接触化学毒物检查人数：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化学毒物检查异常人数：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28DE6AD6">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 接触高温检查人数：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高温检查异常人数：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0843C35D">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 接触噪声检查人数：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噪声检查异常人数：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p w14:paraId="06FB0FE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 接触电离辐射检查人数：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  电离辐射检查异常人数：</w:t>
            </w:r>
            <w:r>
              <w:rPr>
                <w:rFonts w:hint="eastAsia" w:ascii="宋体" w:hAnsi="宋体" w:cs="宋体"/>
                <w:color w:val="000000" w:themeColor="text1"/>
                <w:sz w:val="18"/>
                <w:szCs w:val="18"/>
                <w:u w:val="single"/>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w:t>
            </w:r>
          </w:p>
        </w:tc>
      </w:tr>
      <w:tr w14:paraId="041239D9">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204F8132">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2B1B8A5B">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1104</w:t>
            </w:r>
          </w:p>
        </w:tc>
        <w:tc>
          <w:tcPr>
            <w:tcW w:w="7933" w:type="dxa"/>
            <w:vAlign w:val="center"/>
          </w:tcPr>
          <w:p w14:paraId="7229B622">
            <w:pPr>
              <w:snapToGrid w:val="0"/>
              <w:spacing w:line="240" w:lineRule="auto"/>
              <w:rPr>
                <w:rFonts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是否及时安排疑似职业病人进行职业病诊断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□是  </w:t>
            </w:r>
            <w:bookmarkStart w:id="425" w:name="OLE_LINK5"/>
            <w:r>
              <w:rPr>
                <w:rFonts w:hint="eastAsia" w:ascii="宋体" w:hAnsi="宋体" w:cs="宋体"/>
                <w:color w:val="000000" w:themeColor="text1"/>
                <w:sz w:val="18"/>
                <w:szCs w:val="18"/>
                <w14:textFill>
                  <w14:solidFill>
                    <w14:schemeClr w14:val="tx1"/>
                  </w14:solidFill>
                </w14:textFill>
              </w:rPr>
              <w:t>□否</w:t>
            </w:r>
            <w:bookmarkEnd w:id="425"/>
            <w:r>
              <w:rPr>
                <w:rFonts w:hint="eastAsia" w:ascii="宋体" w:hAnsi="宋体" w:cs="宋体"/>
                <w:color w:val="000000" w:themeColor="text1"/>
                <w:sz w:val="18"/>
                <w:szCs w:val="18"/>
                <w14:textFill>
                  <w14:solidFill>
                    <w14:schemeClr w14:val="tx1"/>
                  </w14:solidFill>
                </w14:textFill>
              </w:rPr>
              <w:t xml:space="preserve"> □不涉及</w:t>
            </w:r>
          </w:p>
          <w:p w14:paraId="6285C63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是否解除或者终止疑似职业病病人在诊断或者医学观察期间与其订立的劳动合同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□是  □否 □不涉及</w:t>
            </w:r>
          </w:p>
        </w:tc>
      </w:tr>
      <w:tr w14:paraId="2AAD9633">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43408167">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074781E6">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1105</w:t>
            </w:r>
          </w:p>
        </w:tc>
        <w:tc>
          <w:tcPr>
            <w:tcW w:w="7933" w:type="dxa"/>
            <w:vAlign w:val="center"/>
          </w:tcPr>
          <w:p w14:paraId="5A9766E6">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是否如实提供职业病诊断、鉴定所需的劳动者职业史和职业病危害接触史、职业病危害因素检测结果等资料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□是  □否 </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□不涉及</w:t>
            </w:r>
          </w:p>
        </w:tc>
      </w:tr>
      <w:tr w14:paraId="5C8CCFFF">
        <w:tblPrEx>
          <w:tblBorders>
            <w:top w:val="single" w:color="auto" w:sz="8"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42" w:hRule="atLeast"/>
          <w:jc w:val="center"/>
        </w:trPr>
        <w:tc>
          <w:tcPr>
            <w:tcW w:w="965" w:type="dxa"/>
            <w:vMerge w:val="continue"/>
            <w:vAlign w:val="center"/>
          </w:tcPr>
          <w:p w14:paraId="71BB438D">
            <w:pPr>
              <w:snapToGrid w:val="0"/>
              <w:spacing w:line="240" w:lineRule="auto"/>
              <w:jc w:val="center"/>
              <w:rPr>
                <w:rFonts w:ascii="宋体" w:hAnsi="宋体" w:cs="宋体"/>
                <w:color w:val="000000" w:themeColor="text1"/>
                <w:sz w:val="18"/>
                <w:szCs w:val="18"/>
                <w14:textFill>
                  <w14:solidFill>
                    <w14:schemeClr w14:val="tx1"/>
                  </w14:solidFill>
                </w14:textFill>
              </w:rPr>
            </w:pPr>
          </w:p>
        </w:tc>
        <w:tc>
          <w:tcPr>
            <w:tcW w:w="1177" w:type="dxa"/>
            <w:vAlign w:val="center"/>
          </w:tcPr>
          <w:p w14:paraId="1E5D5D1D">
            <w:pPr>
              <w:snapToGrid w:val="0"/>
              <w:spacing w:line="24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1106</w:t>
            </w:r>
          </w:p>
        </w:tc>
        <w:tc>
          <w:tcPr>
            <w:tcW w:w="7933" w:type="dxa"/>
            <w:vAlign w:val="center"/>
          </w:tcPr>
          <w:p w14:paraId="027C5DE4">
            <w:pPr>
              <w:snapToGrid w:val="0"/>
              <w:spacing w:line="24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 xml:space="preserve">是否安排未成年工从事接触职业病危害的作业和孕期、哺乳期女职工从事对本人和胎儿、婴儿有危害的作业 </w:t>
            </w:r>
            <w:r>
              <w:rPr>
                <w:rFonts w:ascii="宋体" w:hAnsi="宋体" w:cs="宋体"/>
                <w:color w:val="000000" w:themeColor="text1"/>
                <w:sz w:val="18"/>
                <w:szCs w:val="18"/>
                <w:lang w:val="zh-CN"/>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 xml:space="preserve">□是  □否 </w:t>
            </w:r>
            <w:r>
              <w:rPr>
                <w:rFonts w:ascii="宋体" w:hAnsi="宋体" w:cs="宋体"/>
                <w:color w:val="000000" w:themeColor="text1"/>
                <w:sz w:val="18"/>
                <w:szCs w:val="18"/>
                <w14:textFill>
                  <w14:solidFill>
                    <w14:schemeClr w14:val="tx1"/>
                  </w14:solidFill>
                </w14:textFill>
              </w:rPr>
              <w:t xml:space="preserve"> </w:t>
            </w:r>
          </w:p>
        </w:tc>
      </w:tr>
    </w:tbl>
    <w:p w14:paraId="14EB55E9">
      <w:pPr>
        <w:tabs>
          <w:tab w:val="left" w:pos="1274"/>
        </w:tabs>
        <w:rPr>
          <w:rFonts w:hint="eastAsia" w:eastAsia="宋体"/>
          <w:lang w:eastAsia="zh-CN"/>
        </w:rPr>
      </w:pPr>
      <w:r>
        <w:tab/>
      </w:r>
      <w:r>
        <w:object>
          <v:shape id="_x0000_i1025" o:spt="75" type="#_x0000_t75" style="height:65.4pt;width:72.6pt;" o:ole="t" filled="f" o:preferrelative="t" stroked="f" coordsize="21600,21600">
            <v:path/>
            <v:fill on="f" focussize="0,0"/>
            <v:stroke on="f"/>
            <v:imagedata r:id="rId17" o:title=""/>
            <o:lock v:ext="edit" aspectratio="t"/>
            <w10:wrap type="none"/>
            <w10:anchorlock/>
          </v:shape>
          <o:OLEObject Type="Embed" ProgID="Word.Document.12" ShapeID="_x0000_i1025" DrawAspect="Icon" ObjectID="_1468075725" r:id="rId16">
            <o:LockedField>false</o:LockedField>
          </o:OLEObject>
        </w:object>
      </w:r>
    </w:p>
    <w:p w14:paraId="424AEBB3">
      <w:pPr>
        <w:pStyle w:val="203"/>
        <w:rPr>
          <w:vanish w:val="0"/>
        </w:rPr>
      </w:pPr>
    </w:p>
    <w:p w14:paraId="17346881">
      <w:pPr>
        <w:pStyle w:val="80"/>
        <w:spacing w:after="156"/>
      </w:pPr>
      <w:r>
        <w:br w:type="textWrapping"/>
      </w:r>
      <w:bookmarkStart w:id="426" w:name="_Toc163652162"/>
      <w:bookmarkStart w:id="427" w:name="_Toc163652051"/>
      <w:bookmarkStart w:id="428" w:name="_Toc163652595"/>
      <w:bookmarkStart w:id="429" w:name="_Toc163652232"/>
      <w:bookmarkStart w:id="430" w:name="_Toc163652536"/>
      <w:bookmarkStart w:id="431" w:name="_Toc163652476"/>
      <w:bookmarkStart w:id="432" w:name="_Toc163651722"/>
      <w:bookmarkStart w:id="433" w:name="_Toc163652635"/>
      <w:r>
        <w:rPr>
          <w:rFonts w:hint="eastAsia"/>
        </w:rPr>
        <w:t>（资料性）</w:t>
      </w:r>
      <w:r>
        <w:br w:type="textWrapping"/>
      </w:r>
      <w:r>
        <w:rPr>
          <w:rFonts w:hint="eastAsia"/>
        </w:rPr>
        <w:t>帮扶前（后）小微企业职业健康管理情况登记表</w:t>
      </w:r>
      <w:bookmarkEnd w:id="426"/>
      <w:bookmarkEnd w:id="427"/>
      <w:bookmarkEnd w:id="428"/>
      <w:bookmarkEnd w:id="429"/>
      <w:bookmarkEnd w:id="430"/>
      <w:bookmarkEnd w:id="431"/>
      <w:bookmarkEnd w:id="432"/>
      <w:bookmarkEnd w:id="433"/>
    </w:p>
    <w:tbl>
      <w:tblPr>
        <w:tblStyle w:val="29"/>
        <w:tblpPr w:leftFromText="180" w:rightFromText="180" w:vertAnchor="page" w:horzAnchor="page" w:tblpX="265" w:tblpY="4044"/>
        <w:tblOverlap w:val="never"/>
        <w:tblW w:w="11487" w:type="dxa"/>
        <w:tblInd w:w="0" w:type="dxa"/>
        <w:tblLayout w:type="fixed"/>
        <w:tblCellMar>
          <w:top w:w="0" w:type="dxa"/>
          <w:left w:w="108" w:type="dxa"/>
          <w:bottom w:w="0" w:type="dxa"/>
          <w:right w:w="108" w:type="dxa"/>
        </w:tblCellMar>
      </w:tblPr>
      <w:tblGrid>
        <w:gridCol w:w="316"/>
        <w:gridCol w:w="350"/>
        <w:gridCol w:w="349"/>
        <w:gridCol w:w="381"/>
        <w:gridCol w:w="360"/>
        <w:gridCol w:w="382"/>
        <w:gridCol w:w="458"/>
        <w:gridCol w:w="393"/>
        <w:gridCol w:w="404"/>
        <w:gridCol w:w="341"/>
        <w:gridCol w:w="371"/>
        <w:gridCol w:w="381"/>
        <w:gridCol w:w="403"/>
        <w:gridCol w:w="392"/>
        <w:gridCol w:w="371"/>
        <w:gridCol w:w="444"/>
        <w:gridCol w:w="436"/>
        <w:gridCol w:w="371"/>
        <w:gridCol w:w="309"/>
        <w:gridCol w:w="392"/>
        <w:gridCol w:w="382"/>
        <w:gridCol w:w="490"/>
        <w:gridCol w:w="390"/>
        <w:gridCol w:w="348"/>
        <w:gridCol w:w="396"/>
        <w:gridCol w:w="397"/>
        <w:gridCol w:w="367"/>
        <w:gridCol w:w="350"/>
        <w:gridCol w:w="403"/>
        <w:gridCol w:w="360"/>
      </w:tblGrid>
      <w:tr w14:paraId="64C9FD32">
        <w:tblPrEx>
          <w:tblCellMar>
            <w:top w:w="0" w:type="dxa"/>
            <w:left w:w="108" w:type="dxa"/>
            <w:bottom w:w="0" w:type="dxa"/>
            <w:right w:w="108" w:type="dxa"/>
          </w:tblCellMar>
        </w:tblPrEx>
        <w:trPr>
          <w:trHeight w:val="734" w:hRule="atLeast"/>
        </w:trPr>
        <w:tc>
          <w:tcPr>
            <w:tcW w:w="316" w:type="dxa"/>
            <w:vMerge w:val="restart"/>
            <w:tcBorders>
              <w:top w:val="single" w:color="auto" w:sz="4" w:space="0"/>
              <w:left w:val="single" w:color="auto" w:sz="4" w:space="0"/>
              <w:bottom w:val="single" w:color="auto" w:sz="4" w:space="0"/>
              <w:right w:val="single" w:color="auto" w:sz="4" w:space="0"/>
            </w:tcBorders>
            <w:vAlign w:val="center"/>
          </w:tcPr>
          <w:p w14:paraId="266DCF70">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企业名称</w:t>
            </w:r>
          </w:p>
        </w:tc>
        <w:tc>
          <w:tcPr>
            <w:tcW w:w="350" w:type="dxa"/>
            <w:vMerge w:val="restart"/>
            <w:tcBorders>
              <w:top w:val="single" w:color="auto" w:sz="4" w:space="0"/>
              <w:left w:val="single" w:color="auto" w:sz="4" w:space="0"/>
              <w:bottom w:val="single" w:color="auto" w:sz="4" w:space="0"/>
              <w:right w:val="single" w:color="auto" w:sz="4" w:space="0"/>
            </w:tcBorders>
            <w:vAlign w:val="center"/>
          </w:tcPr>
          <w:p w14:paraId="52B758F9">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注册</w:t>
            </w:r>
          </w:p>
          <w:p w14:paraId="51A03E76">
            <w:pPr>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类型</w:t>
            </w:r>
          </w:p>
        </w:tc>
        <w:tc>
          <w:tcPr>
            <w:tcW w:w="349" w:type="dxa"/>
            <w:vMerge w:val="restart"/>
            <w:tcBorders>
              <w:top w:val="single" w:color="auto" w:sz="4" w:space="0"/>
              <w:left w:val="single" w:color="auto" w:sz="4" w:space="0"/>
              <w:right w:val="single" w:color="auto" w:sz="4" w:space="0"/>
            </w:tcBorders>
            <w:vAlign w:val="center"/>
          </w:tcPr>
          <w:p w14:paraId="0CC0D162">
            <w:pPr>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企业规模</w:t>
            </w:r>
          </w:p>
        </w:tc>
        <w:tc>
          <w:tcPr>
            <w:tcW w:w="381" w:type="dxa"/>
            <w:vMerge w:val="restart"/>
            <w:tcBorders>
              <w:top w:val="single" w:color="auto" w:sz="4" w:space="0"/>
              <w:left w:val="single" w:color="auto" w:sz="4" w:space="0"/>
              <w:bottom w:val="single" w:color="auto" w:sz="4" w:space="0"/>
              <w:right w:val="single" w:color="auto" w:sz="4" w:space="0"/>
            </w:tcBorders>
            <w:vAlign w:val="center"/>
          </w:tcPr>
          <w:p w14:paraId="1E116D54">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从业人员总数</w:t>
            </w:r>
          </w:p>
        </w:tc>
        <w:tc>
          <w:tcPr>
            <w:tcW w:w="360" w:type="dxa"/>
            <w:vMerge w:val="restart"/>
            <w:tcBorders>
              <w:top w:val="single" w:color="auto" w:sz="4" w:space="0"/>
              <w:left w:val="single" w:color="auto" w:sz="4" w:space="0"/>
              <w:bottom w:val="single" w:color="auto" w:sz="4" w:space="0"/>
              <w:right w:val="single" w:color="auto" w:sz="4" w:space="0"/>
            </w:tcBorders>
            <w:vAlign w:val="center"/>
          </w:tcPr>
          <w:p w14:paraId="7B5E403B">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接触职业病危害因素人数</w:t>
            </w:r>
          </w:p>
        </w:tc>
        <w:tc>
          <w:tcPr>
            <w:tcW w:w="382" w:type="dxa"/>
            <w:vMerge w:val="restart"/>
            <w:tcBorders>
              <w:top w:val="single" w:color="auto" w:sz="4" w:space="0"/>
              <w:left w:val="single" w:color="auto" w:sz="4" w:space="0"/>
              <w:bottom w:val="single" w:color="auto" w:sz="4" w:space="0"/>
              <w:right w:val="single" w:color="auto" w:sz="4" w:space="0"/>
            </w:tcBorders>
            <w:vAlign w:val="center"/>
          </w:tcPr>
          <w:p w14:paraId="1541321E">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进行职业病危害项目申报</w:t>
            </w:r>
          </w:p>
        </w:tc>
        <w:tc>
          <w:tcPr>
            <w:tcW w:w="458" w:type="dxa"/>
            <w:vMerge w:val="restart"/>
            <w:tcBorders>
              <w:top w:val="single" w:color="auto" w:sz="4" w:space="0"/>
              <w:left w:val="single" w:color="auto" w:sz="4" w:space="0"/>
              <w:bottom w:val="single" w:color="auto" w:sz="4" w:space="0"/>
              <w:right w:val="single" w:color="auto" w:sz="4" w:space="0"/>
            </w:tcBorders>
            <w:vAlign w:val="center"/>
          </w:tcPr>
          <w:p w14:paraId="42701B70">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是否明确职业卫生管理部门、人员及其职责</w:t>
            </w:r>
          </w:p>
        </w:tc>
        <w:tc>
          <w:tcPr>
            <w:tcW w:w="393" w:type="dxa"/>
            <w:vMerge w:val="restart"/>
            <w:tcBorders>
              <w:top w:val="single" w:color="auto" w:sz="4" w:space="0"/>
              <w:left w:val="single" w:color="auto" w:sz="4" w:space="0"/>
              <w:bottom w:val="single" w:color="auto" w:sz="4" w:space="0"/>
              <w:right w:val="single" w:color="auto" w:sz="4" w:space="0"/>
            </w:tcBorders>
            <w:vAlign w:val="center"/>
          </w:tcPr>
          <w:p w14:paraId="4777FA37">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职业卫生管理制度建立情况︵12项制度︶</w:t>
            </w:r>
          </w:p>
        </w:tc>
        <w:tc>
          <w:tcPr>
            <w:tcW w:w="745" w:type="dxa"/>
            <w:gridSpan w:val="2"/>
            <w:tcBorders>
              <w:top w:val="single" w:color="auto" w:sz="4" w:space="0"/>
              <w:left w:val="single" w:color="auto" w:sz="4" w:space="0"/>
              <w:bottom w:val="single" w:color="auto" w:sz="4" w:space="0"/>
              <w:right w:val="single" w:color="auto" w:sz="4" w:space="0"/>
            </w:tcBorders>
            <w:vAlign w:val="center"/>
          </w:tcPr>
          <w:p w14:paraId="6F17986E">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是否接受职业健康培训</w:t>
            </w:r>
          </w:p>
        </w:tc>
        <w:tc>
          <w:tcPr>
            <w:tcW w:w="1918" w:type="dxa"/>
            <w:gridSpan w:val="5"/>
            <w:tcBorders>
              <w:top w:val="single" w:color="auto" w:sz="4" w:space="0"/>
              <w:left w:val="single" w:color="auto" w:sz="4" w:space="0"/>
              <w:bottom w:val="single" w:color="auto" w:sz="4" w:space="0"/>
              <w:right w:val="single" w:color="auto" w:sz="4" w:space="0"/>
            </w:tcBorders>
            <w:vAlign w:val="center"/>
          </w:tcPr>
          <w:p w14:paraId="297D2359">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职业病危害告知情况</w:t>
            </w:r>
          </w:p>
        </w:tc>
        <w:tc>
          <w:tcPr>
            <w:tcW w:w="444" w:type="dxa"/>
            <w:vMerge w:val="restart"/>
            <w:tcBorders>
              <w:top w:val="single" w:color="auto" w:sz="4" w:space="0"/>
              <w:left w:val="single" w:color="auto" w:sz="4" w:space="0"/>
              <w:bottom w:val="single" w:color="auto" w:sz="4" w:space="0"/>
              <w:right w:val="single" w:color="auto" w:sz="4" w:space="0"/>
            </w:tcBorders>
            <w:vAlign w:val="center"/>
          </w:tcPr>
          <w:p w14:paraId="0C6758A3">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近2年接受职业健康培训劳动者人数分别为</w:t>
            </w:r>
            <w:r>
              <w:rPr>
                <w:rFonts w:hint="eastAsia" w:ascii="宋体" w:hAnsi="宋体" w:cs="宋体"/>
                <w:color w:val="000000" w:themeColor="text1"/>
                <w:kern w:val="0"/>
                <w:sz w:val="18"/>
                <w:szCs w:val="18"/>
                <w:vertAlign w:val="superscript"/>
                <w14:textFill>
                  <w14:solidFill>
                    <w14:schemeClr w14:val="tx1"/>
                  </w14:solidFill>
                </w14:textFill>
              </w:rPr>
              <w:t>a</w:t>
            </w:r>
          </w:p>
        </w:tc>
        <w:tc>
          <w:tcPr>
            <w:tcW w:w="436" w:type="dxa"/>
            <w:vMerge w:val="restart"/>
            <w:tcBorders>
              <w:top w:val="single" w:color="auto" w:sz="4" w:space="0"/>
              <w:left w:val="single" w:color="auto" w:sz="4" w:space="0"/>
              <w:bottom w:val="single" w:color="auto" w:sz="4" w:space="0"/>
              <w:right w:val="single" w:color="auto" w:sz="4" w:space="0"/>
            </w:tcBorders>
            <w:vAlign w:val="center"/>
          </w:tcPr>
          <w:p w14:paraId="09FE7A46">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近2年是否开展职业病危害定期检测</w:t>
            </w:r>
          </w:p>
          <w:p w14:paraId="65087DA7">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1454" w:type="dxa"/>
            <w:gridSpan w:val="4"/>
            <w:tcBorders>
              <w:top w:val="single" w:color="auto" w:sz="4" w:space="0"/>
              <w:left w:val="single" w:color="auto" w:sz="4" w:space="0"/>
              <w:bottom w:val="single" w:color="auto" w:sz="4" w:space="0"/>
              <w:right w:val="single" w:color="auto" w:sz="4" w:space="0"/>
            </w:tcBorders>
            <w:vAlign w:val="center"/>
          </w:tcPr>
          <w:p w14:paraId="06ABC9AA">
            <w:pPr>
              <w:widowControl/>
              <w:spacing w:line="240" w:lineRule="exact"/>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最近一次检测情况</w:t>
            </w:r>
            <w:r>
              <w:rPr>
                <w:rFonts w:hint="eastAsia" w:ascii="宋体" w:hAnsi="宋体" w:cs="宋体"/>
                <w:color w:val="000000" w:themeColor="text1"/>
                <w:kern w:val="0"/>
                <w:sz w:val="18"/>
                <w:szCs w:val="18"/>
                <w:vertAlign w:val="superscript"/>
                <w14:textFill>
                  <w14:solidFill>
                    <w14:schemeClr w14:val="tx1"/>
                  </w14:solidFill>
                </w14:textFill>
              </w:rPr>
              <w:t>b</w:t>
            </w:r>
          </w:p>
        </w:tc>
        <w:tc>
          <w:tcPr>
            <w:tcW w:w="490" w:type="dxa"/>
            <w:vMerge w:val="restart"/>
            <w:tcBorders>
              <w:top w:val="single" w:color="auto" w:sz="4" w:space="0"/>
              <w:left w:val="single" w:color="auto" w:sz="4" w:space="0"/>
              <w:bottom w:val="single" w:color="auto" w:sz="4" w:space="0"/>
              <w:right w:val="single" w:color="auto" w:sz="4" w:space="0"/>
            </w:tcBorders>
            <w:vAlign w:val="center"/>
          </w:tcPr>
          <w:p w14:paraId="33A7EE45">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近2年是否组织职业健康检查</w:t>
            </w: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3B884280">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最近一次职业健康检查情况</w:t>
            </w:r>
          </w:p>
        </w:tc>
        <w:tc>
          <w:tcPr>
            <w:tcW w:w="397" w:type="dxa"/>
            <w:vMerge w:val="restart"/>
            <w:tcBorders>
              <w:top w:val="single" w:color="auto" w:sz="4" w:space="0"/>
              <w:left w:val="single" w:color="auto" w:sz="4" w:space="0"/>
              <w:right w:val="single" w:color="auto" w:sz="4" w:space="0"/>
            </w:tcBorders>
            <w:vAlign w:val="center"/>
          </w:tcPr>
          <w:p w14:paraId="0B99F703">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职业病人数</w:t>
            </w:r>
          </w:p>
        </w:tc>
        <w:tc>
          <w:tcPr>
            <w:tcW w:w="717" w:type="dxa"/>
            <w:gridSpan w:val="2"/>
            <w:tcBorders>
              <w:top w:val="single" w:color="auto" w:sz="4" w:space="0"/>
              <w:left w:val="single" w:color="auto" w:sz="4" w:space="0"/>
              <w:bottom w:val="single" w:color="auto" w:sz="4" w:space="0"/>
              <w:right w:val="single" w:color="auto" w:sz="4" w:space="0"/>
            </w:tcBorders>
            <w:vAlign w:val="center"/>
          </w:tcPr>
          <w:p w14:paraId="620D9D57">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现场PPE配发情况</w:t>
            </w:r>
          </w:p>
        </w:tc>
        <w:tc>
          <w:tcPr>
            <w:tcW w:w="763" w:type="dxa"/>
            <w:gridSpan w:val="2"/>
            <w:tcBorders>
              <w:top w:val="single" w:color="auto" w:sz="4" w:space="0"/>
              <w:left w:val="single" w:color="auto" w:sz="4" w:space="0"/>
              <w:bottom w:val="single" w:color="auto" w:sz="4" w:space="0"/>
              <w:right w:val="single" w:color="auto" w:sz="4" w:space="0"/>
            </w:tcBorders>
            <w:vAlign w:val="center"/>
          </w:tcPr>
          <w:p w14:paraId="5AE6CBBE">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现场PPE佩戴情况</w:t>
            </w:r>
          </w:p>
        </w:tc>
      </w:tr>
      <w:tr w14:paraId="2D2FB641">
        <w:tblPrEx>
          <w:tblCellMar>
            <w:top w:w="0" w:type="dxa"/>
            <w:left w:w="108" w:type="dxa"/>
            <w:bottom w:w="0" w:type="dxa"/>
            <w:right w:w="108" w:type="dxa"/>
          </w:tblCellMar>
        </w:tblPrEx>
        <w:trPr>
          <w:trHeight w:val="3986" w:hRule="atLeast"/>
        </w:trPr>
        <w:tc>
          <w:tcPr>
            <w:tcW w:w="316" w:type="dxa"/>
            <w:vMerge w:val="continue"/>
            <w:tcBorders>
              <w:top w:val="single" w:color="auto" w:sz="4" w:space="0"/>
              <w:left w:val="single" w:color="auto" w:sz="4" w:space="0"/>
              <w:bottom w:val="single" w:color="auto" w:sz="4" w:space="0"/>
              <w:right w:val="single" w:color="auto" w:sz="4" w:space="0"/>
            </w:tcBorders>
            <w:vAlign w:val="center"/>
          </w:tcPr>
          <w:p w14:paraId="27110DBA">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50" w:type="dxa"/>
            <w:vMerge w:val="continue"/>
            <w:tcBorders>
              <w:top w:val="single" w:color="auto" w:sz="4" w:space="0"/>
              <w:left w:val="nil"/>
              <w:bottom w:val="single" w:color="auto" w:sz="4" w:space="0"/>
              <w:right w:val="single" w:color="auto" w:sz="4" w:space="0"/>
            </w:tcBorders>
            <w:vAlign w:val="center"/>
          </w:tcPr>
          <w:p w14:paraId="1BC25075">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49" w:type="dxa"/>
            <w:vMerge w:val="continue"/>
            <w:tcBorders>
              <w:left w:val="single" w:color="auto" w:sz="4" w:space="0"/>
              <w:bottom w:val="single" w:color="auto" w:sz="4" w:space="0"/>
              <w:right w:val="single" w:color="auto" w:sz="4" w:space="0"/>
            </w:tcBorders>
            <w:vAlign w:val="center"/>
          </w:tcPr>
          <w:p w14:paraId="5BA6B6D7">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1" w:type="dxa"/>
            <w:vMerge w:val="continue"/>
            <w:tcBorders>
              <w:top w:val="single" w:color="auto" w:sz="4" w:space="0"/>
              <w:left w:val="single" w:color="auto" w:sz="4" w:space="0"/>
              <w:bottom w:val="single" w:color="auto" w:sz="4" w:space="0"/>
              <w:right w:val="single" w:color="auto" w:sz="4" w:space="0"/>
            </w:tcBorders>
            <w:vAlign w:val="center"/>
          </w:tcPr>
          <w:p w14:paraId="43435133">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60" w:type="dxa"/>
            <w:vMerge w:val="continue"/>
            <w:tcBorders>
              <w:top w:val="single" w:color="auto" w:sz="4" w:space="0"/>
              <w:left w:val="single" w:color="auto" w:sz="4" w:space="0"/>
              <w:bottom w:val="single" w:color="auto" w:sz="4" w:space="0"/>
              <w:right w:val="single" w:color="auto" w:sz="4" w:space="0"/>
            </w:tcBorders>
            <w:vAlign w:val="center"/>
          </w:tcPr>
          <w:p w14:paraId="31D70D65">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2" w:type="dxa"/>
            <w:vMerge w:val="continue"/>
            <w:tcBorders>
              <w:top w:val="single" w:color="auto" w:sz="4" w:space="0"/>
              <w:left w:val="single" w:color="auto" w:sz="4" w:space="0"/>
              <w:bottom w:val="single" w:color="auto" w:sz="4" w:space="0"/>
              <w:right w:val="single" w:color="auto" w:sz="4" w:space="0"/>
            </w:tcBorders>
            <w:vAlign w:val="center"/>
          </w:tcPr>
          <w:p w14:paraId="29F73CCF">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58" w:type="dxa"/>
            <w:vMerge w:val="continue"/>
            <w:tcBorders>
              <w:top w:val="single" w:color="auto" w:sz="4" w:space="0"/>
              <w:left w:val="nil"/>
              <w:bottom w:val="single" w:color="auto" w:sz="4" w:space="0"/>
              <w:right w:val="single" w:color="auto" w:sz="4" w:space="0"/>
            </w:tcBorders>
            <w:vAlign w:val="center"/>
          </w:tcPr>
          <w:p w14:paraId="1C8B2AEB">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3" w:type="dxa"/>
            <w:vMerge w:val="continue"/>
            <w:tcBorders>
              <w:top w:val="single" w:color="auto" w:sz="4" w:space="0"/>
              <w:left w:val="nil"/>
              <w:bottom w:val="single" w:color="auto" w:sz="4" w:space="0"/>
              <w:right w:val="single" w:color="auto" w:sz="4" w:space="0"/>
            </w:tcBorders>
            <w:vAlign w:val="center"/>
          </w:tcPr>
          <w:p w14:paraId="4772C13F">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04" w:type="dxa"/>
            <w:tcBorders>
              <w:top w:val="single" w:color="auto" w:sz="4" w:space="0"/>
              <w:left w:val="nil"/>
              <w:bottom w:val="single" w:color="auto" w:sz="4" w:space="0"/>
              <w:right w:val="single" w:color="auto" w:sz="4" w:space="0"/>
            </w:tcBorders>
            <w:vAlign w:val="center"/>
          </w:tcPr>
          <w:p w14:paraId="1D891A05">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主要负责人</w:t>
            </w:r>
          </w:p>
        </w:tc>
        <w:tc>
          <w:tcPr>
            <w:tcW w:w="341" w:type="dxa"/>
            <w:tcBorders>
              <w:top w:val="single" w:color="auto" w:sz="4" w:space="0"/>
              <w:left w:val="nil"/>
              <w:bottom w:val="single" w:color="auto" w:sz="4" w:space="0"/>
              <w:right w:val="single" w:color="auto" w:sz="4" w:space="0"/>
            </w:tcBorders>
            <w:vAlign w:val="center"/>
          </w:tcPr>
          <w:p w14:paraId="0A439BBD">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职业健康管理人员</w:t>
            </w:r>
          </w:p>
        </w:tc>
        <w:tc>
          <w:tcPr>
            <w:tcW w:w="371" w:type="dxa"/>
            <w:tcBorders>
              <w:top w:val="single" w:color="auto" w:sz="4" w:space="0"/>
              <w:left w:val="single" w:color="auto" w:sz="4" w:space="0"/>
              <w:bottom w:val="single" w:color="auto" w:sz="4" w:space="0"/>
              <w:right w:val="single" w:color="auto" w:sz="4" w:space="0"/>
            </w:tcBorders>
            <w:vAlign w:val="center"/>
          </w:tcPr>
          <w:p w14:paraId="1210A66D">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警示标识告知</w:t>
            </w:r>
          </w:p>
        </w:tc>
        <w:tc>
          <w:tcPr>
            <w:tcW w:w="381" w:type="dxa"/>
            <w:tcBorders>
              <w:top w:val="single" w:color="auto" w:sz="4" w:space="0"/>
              <w:left w:val="single" w:color="auto" w:sz="4" w:space="0"/>
              <w:bottom w:val="single" w:color="auto" w:sz="4" w:space="0"/>
              <w:right w:val="single" w:color="auto" w:sz="4" w:space="0"/>
            </w:tcBorders>
            <w:vAlign w:val="center"/>
          </w:tcPr>
          <w:p w14:paraId="661F6FBD">
            <w:pPr>
              <w:widowControl/>
              <w:spacing w:line="24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告知卡告知</w:t>
            </w:r>
          </w:p>
        </w:tc>
        <w:tc>
          <w:tcPr>
            <w:tcW w:w="403" w:type="dxa"/>
            <w:tcBorders>
              <w:top w:val="single" w:color="auto" w:sz="4" w:space="0"/>
              <w:left w:val="single" w:color="auto" w:sz="4" w:space="0"/>
              <w:bottom w:val="single" w:color="auto" w:sz="4" w:space="0"/>
              <w:right w:val="single" w:color="auto" w:sz="4" w:space="0"/>
            </w:tcBorders>
            <w:vAlign w:val="center"/>
          </w:tcPr>
          <w:p w14:paraId="30D66EC7">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职业危害岗位劳动合同告知</w:t>
            </w:r>
          </w:p>
        </w:tc>
        <w:tc>
          <w:tcPr>
            <w:tcW w:w="392" w:type="dxa"/>
            <w:tcBorders>
              <w:top w:val="single" w:color="auto" w:sz="4" w:space="0"/>
              <w:left w:val="single" w:color="auto" w:sz="4" w:space="0"/>
              <w:bottom w:val="single" w:color="auto" w:sz="4" w:space="0"/>
              <w:right w:val="single" w:color="auto" w:sz="4" w:space="0"/>
            </w:tcBorders>
            <w:vAlign w:val="center"/>
          </w:tcPr>
          <w:p w14:paraId="1977DE68">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lang w:val="zh-CN"/>
                <w14:textFill>
                  <w14:solidFill>
                    <w14:schemeClr w14:val="tx1"/>
                  </w14:solidFill>
                </w14:textFill>
              </w:rPr>
              <w:t>职业卫生公告栏</w:t>
            </w:r>
            <w:r>
              <w:rPr>
                <w:rFonts w:hint="eastAsia" w:ascii="宋体" w:hAnsi="宋体" w:cs="宋体"/>
                <w:color w:val="000000" w:themeColor="text1"/>
                <w:sz w:val="18"/>
                <w:szCs w:val="18"/>
                <w14:textFill>
                  <w14:solidFill>
                    <w14:schemeClr w14:val="tx1"/>
                  </w14:solidFill>
                </w14:textFill>
              </w:rPr>
              <w:t>告知</w:t>
            </w:r>
          </w:p>
        </w:tc>
        <w:tc>
          <w:tcPr>
            <w:tcW w:w="371" w:type="dxa"/>
            <w:tcBorders>
              <w:top w:val="single" w:color="auto" w:sz="4" w:space="0"/>
              <w:left w:val="single" w:color="auto" w:sz="4" w:space="0"/>
              <w:bottom w:val="single" w:color="auto" w:sz="4" w:space="0"/>
              <w:right w:val="single" w:color="auto" w:sz="4" w:space="0"/>
            </w:tcBorders>
            <w:vAlign w:val="center"/>
          </w:tcPr>
          <w:p w14:paraId="3D2E25E5">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职业健康检查告知</w:t>
            </w:r>
          </w:p>
        </w:tc>
        <w:tc>
          <w:tcPr>
            <w:tcW w:w="444" w:type="dxa"/>
            <w:vMerge w:val="continue"/>
            <w:tcBorders>
              <w:top w:val="single" w:color="auto" w:sz="4" w:space="0"/>
              <w:left w:val="single" w:color="auto" w:sz="4" w:space="0"/>
              <w:bottom w:val="single" w:color="auto" w:sz="4" w:space="0"/>
              <w:right w:val="single" w:color="auto" w:sz="4" w:space="0"/>
            </w:tcBorders>
            <w:vAlign w:val="center"/>
          </w:tcPr>
          <w:p w14:paraId="1CFC119D">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14:paraId="07808730">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71" w:type="dxa"/>
            <w:tcBorders>
              <w:top w:val="single" w:color="auto" w:sz="4" w:space="0"/>
              <w:left w:val="single" w:color="auto" w:sz="4" w:space="0"/>
              <w:bottom w:val="single" w:color="auto" w:sz="4" w:space="0"/>
              <w:right w:val="single" w:color="auto" w:sz="4" w:space="0"/>
            </w:tcBorders>
            <w:vAlign w:val="center"/>
          </w:tcPr>
          <w:p w14:paraId="52BD91FA">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场所</w:t>
            </w:r>
            <w:r>
              <w:rPr>
                <w:rFonts w:hint="eastAsia" w:ascii="宋体" w:hAnsi="宋体" w:cs="宋体"/>
                <w:color w:val="000000" w:themeColor="text1"/>
                <w:kern w:val="0"/>
                <w:sz w:val="18"/>
                <w:szCs w:val="18"/>
                <w14:textFill>
                  <w14:solidFill>
                    <w14:schemeClr w14:val="tx1"/>
                  </w14:solidFill>
                </w14:textFill>
              </w:rPr>
              <w:t>检测点数</w:t>
            </w:r>
          </w:p>
        </w:tc>
        <w:tc>
          <w:tcPr>
            <w:tcW w:w="309" w:type="dxa"/>
            <w:tcBorders>
              <w:top w:val="single" w:color="auto" w:sz="4" w:space="0"/>
              <w:left w:val="single" w:color="auto" w:sz="4" w:space="0"/>
              <w:bottom w:val="single" w:color="auto" w:sz="4" w:space="0"/>
              <w:right w:val="single" w:color="auto" w:sz="4" w:space="0"/>
            </w:tcBorders>
            <w:vAlign w:val="center"/>
          </w:tcPr>
          <w:p w14:paraId="1C42C7AF">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超标点数</w:t>
            </w:r>
          </w:p>
        </w:tc>
        <w:tc>
          <w:tcPr>
            <w:tcW w:w="392" w:type="dxa"/>
            <w:tcBorders>
              <w:top w:val="single" w:color="auto" w:sz="4" w:space="0"/>
              <w:left w:val="single" w:color="auto" w:sz="4" w:space="0"/>
              <w:bottom w:val="single" w:color="auto" w:sz="4" w:space="0"/>
              <w:right w:val="single" w:color="auto" w:sz="4" w:space="0"/>
            </w:tcBorders>
            <w:vAlign w:val="center"/>
          </w:tcPr>
          <w:p w14:paraId="5C357611">
            <w:pPr>
              <w:widowControl/>
              <w:spacing w:line="240" w:lineRule="exact"/>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检测岗位数</w:t>
            </w:r>
          </w:p>
        </w:tc>
        <w:tc>
          <w:tcPr>
            <w:tcW w:w="382" w:type="dxa"/>
            <w:tcBorders>
              <w:top w:val="single" w:color="auto" w:sz="4" w:space="0"/>
              <w:left w:val="single" w:color="auto" w:sz="4" w:space="0"/>
              <w:bottom w:val="single" w:color="auto" w:sz="4" w:space="0"/>
              <w:right w:val="single" w:color="auto" w:sz="4" w:space="0"/>
            </w:tcBorders>
            <w:vAlign w:val="center"/>
          </w:tcPr>
          <w:p w14:paraId="2369FCA4">
            <w:pPr>
              <w:widowControl/>
              <w:spacing w:line="240" w:lineRule="exact"/>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超标岗位数</w:t>
            </w:r>
          </w:p>
        </w:tc>
        <w:tc>
          <w:tcPr>
            <w:tcW w:w="490" w:type="dxa"/>
            <w:vMerge w:val="continue"/>
            <w:tcBorders>
              <w:top w:val="single" w:color="auto" w:sz="4" w:space="0"/>
              <w:left w:val="single" w:color="auto" w:sz="4" w:space="0"/>
              <w:bottom w:val="single" w:color="auto" w:sz="4" w:space="0"/>
              <w:right w:val="single" w:color="auto" w:sz="4" w:space="0"/>
            </w:tcBorders>
            <w:vAlign w:val="center"/>
          </w:tcPr>
          <w:p w14:paraId="3C37ABF8">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0" w:type="dxa"/>
            <w:tcBorders>
              <w:top w:val="single" w:color="auto" w:sz="4" w:space="0"/>
              <w:left w:val="single" w:color="auto" w:sz="4" w:space="0"/>
              <w:bottom w:val="single" w:color="auto" w:sz="4" w:space="0"/>
              <w:right w:val="single" w:color="auto" w:sz="4" w:space="0"/>
            </w:tcBorders>
            <w:vAlign w:val="center"/>
          </w:tcPr>
          <w:p w14:paraId="4FC39621">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应检人数</w:t>
            </w:r>
          </w:p>
        </w:tc>
        <w:tc>
          <w:tcPr>
            <w:tcW w:w="348" w:type="dxa"/>
            <w:tcBorders>
              <w:top w:val="single" w:color="auto" w:sz="4" w:space="0"/>
              <w:left w:val="single" w:color="auto" w:sz="4" w:space="0"/>
              <w:bottom w:val="single" w:color="auto" w:sz="4" w:space="0"/>
              <w:right w:val="single" w:color="auto" w:sz="4" w:space="0"/>
            </w:tcBorders>
            <w:vAlign w:val="center"/>
          </w:tcPr>
          <w:p w14:paraId="592EEBC2">
            <w:pPr>
              <w:widowControl/>
              <w:spacing w:line="24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实检人数</w:t>
            </w:r>
          </w:p>
        </w:tc>
        <w:tc>
          <w:tcPr>
            <w:tcW w:w="396" w:type="dxa"/>
            <w:tcBorders>
              <w:top w:val="single" w:color="auto" w:sz="4" w:space="0"/>
              <w:left w:val="single" w:color="auto" w:sz="4" w:space="0"/>
              <w:bottom w:val="single" w:color="auto" w:sz="4" w:space="0"/>
              <w:right w:val="single" w:color="auto" w:sz="4" w:space="0"/>
            </w:tcBorders>
            <w:vAlign w:val="center"/>
          </w:tcPr>
          <w:p w14:paraId="7B3EB52F">
            <w:pPr>
              <w:widowControl/>
              <w:spacing w:line="24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职业禁忌证和疑似职业病</w:t>
            </w:r>
          </w:p>
        </w:tc>
        <w:tc>
          <w:tcPr>
            <w:tcW w:w="397" w:type="dxa"/>
            <w:vMerge w:val="continue"/>
            <w:tcBorders>
              <w:left w:val="single" w:color="auto" w:sz="4" w:space="0"/>
              <w:bottom w:val="single" w:color="auto" w:sz="4" w:space="0"/>
              <w:right w:val="single" w:color="auto" w:sz="4" w:space="0"/>
            </w:tcBorders>
            <w:vAlign w:val="center"/>
          </w:tcPr>
          <w:p w14:paraId="5B84D439">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67" w:type="dxa"/>
            <w:tcBorders>
              <w:top w:val="single" w:color="auto" w:sz="4" w:space="0"/>
              <w:left w:val="single" w:color="auto" w:sz="4" w:space="0"/>
              <w:bottom w:val="single" w:color="auto" w:sz="4" w:space="0"/>
              <w:right w:val="single" w:color="auto" w:sz="4" w:space="0"/>
            </w:tcBorders>
            <w:vAlign w:val="center"/>
          </w:tcPr>
          <w:p w14:paraId="068A9715">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应发数</w:t>
            </w:r>
          </w:p>
        </w:tc>
        <w:tc>
          <w:tcPr>
            <w:tcW w:w="350" w:type="dxa"/>
            <w:tcBorders>
              <w:top w:val="single" w:color="auto" w:sz="4" w:space="0"/>
              <w:left w:val="single" w:color="auto" w:sz="4" w:space="0"/>
              <w:bottom w:val="single" w:color="auto" w:sz="4" w:space="0"/>
              <w:right w:val="single" w:color="auto" w:sz="4" w:space="0"/>
            </w:tcBorders>
            <w:vAlign w:val="center"/>
          </w:tcPr>
          <w:p w14:paraId="720C87AC">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实发数</w:t>
            </w:r>
          </w:p>
        </w:tc>
        <w:tc>
          <w:tcPr>
            <w:tcW w:w="403" w:type="dxa"/>
            <w:tcBorders>
              <w:top w:val="single" w:color="auto" w:sz="4" w:space="0"/>
              <w:left w:val="single" w:color="auto" w:sz="4" w:space="0"/>
              <w:bottom w:val="single" w:color="auto" w:sz="4" w:space="0"/>
              <w:right w:val="single" w:color="auto" w:sz="4" w:space="0"/>
            </w:tcBorders>
            <w:vAlign w:val="center"/>
          </w:tcPr>
          <w:p w14:paraId="612B76D0">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佩戴人数</w:t>
            </w:r>
          </w:p>
        </w:tc>
        <w:tc>
          <w:tcPr>
            <w:tcW w:w="360" w:type="dxa"/>
            <w:tcBorders>
              <w:top w:val="single" w:color="auto" w:sz="4" w:space="0"/>
              <w:left w:val="single" w:color="auto" w:sz="4" w:space="0"/>
              <w:bottom w:val="single" w:color="auto" w:sz="4" w:space="0"/>
              <w:right w:val="single" w:color="auto" w:sz="4" w:space="0"/>
            </w:tcBorders>
            <w:vAlign w:val="center"/>
          </w:tcPr>
          <w:p w14:paraId="79880A14">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正确佩戴人数</w:t>
            </w:r>
          </w:p>
        </w:tc>
      </w:tr>
      <w:tr w14:paraId="1D927212">
        <w:tblPrEx>
          <w:tblCellMar>
            <w:top w:w="0" w:type="dxa"/>
            <w:left w:w="108" w:type="dxa"/>
            <w:bottom w:w="0" w:type="dxa"/>
            <w:right w:w="108" w:type="dxa"/>
          </w:tblCellMar>
        </w:tblPrEx>
        <w:trPr>
          <w:trHeight w:val="775" w:hRule="atLeast"/>
        </w:trPr>
        <w:tc>
          <w:tcPr>
            <w:tcW w:w="316" w:type="dxa"/>
            <w:tcBorders>
              <w:top w:val="single" w:color="auto" w:sz="4" w:space="0"/>
              <w:left w:val="single" w:color="auto" w:sz="4" w:space="0"/>
              <w:bottom w:val="single" w:color="auto" w:sz="4" w:space="0"/>
              <w:right w:val="single" w:color="auto" w:sz="4" w:space="0"/>
            </w:tcBorders>
            <w:vAlign w:val="center"/>
          </w:tcPr>
          <w:p w14:paraId="0B6075C2">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50" w:type="dxa"/>
            <w:tcBorders>
              <w:top w:val="single" w:color="auto" w:sz="4" w:space="0"/>
              <w:left w:val="nil"/>
              <w:bottom w:val="single" w:color="auto" w:sz="4" w:space="0"/>
              <w:right w:val="single" w:color="auto" w:sz="4" w:space="0"/>
            </w:tcBorders>
            <w:vAlign w:val="center"/>
          </w:tcPr>
          <w:p w14:paraId="2632FC1D">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49" w:type="dxa"/>
            <w:tcBorders>
              <w:top w:val="single" w:color="auto" w:sz="4" w:space="0"/>
              <w:left w:val="single" w:color="auto" w:sz="4" w:space="0"/>
              <w:bottom w:val="single" w:color="auto" w:sz="4" w:space="0"/>
              <w:right w:val="single" w:color="auto" w:sz="4" w:space="0"/>
            </w:tcBorders>
            <w:vAlign w:val="center"/>
          </w:tcPr>
          <w:p w14:paraId="047CC804">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1" w:type="dxa"/>
            <w:tcBorders>
              <w:top w:val="single" w:color="auto" w:sz="4" w:space="0"/>
              <w:left w:val="single" w:color="auto" w:sz="4" w:space="0"/>
              <w:bottom w:val="single" w:color="auto" w:sz="4" w:space="0"/>
              <w:right w:val="single" w:color="auto" w:sz="4" w:space="0"/>
            </w:tcBorders>
            <w:vAlign w:val="center"/>
          </w:tcPr>
          <w:p w14:paraId="0F2946AC">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60" w:type="dxa"/>
            <w:tcBorders>
              <w:top w:val="single" w:color="auto" w:sz="4" w:space="0"/>
              <w:left w:val="single" w:color="auto" w:sz="4" w:space="0"/>
              <w:bottom w:val="single" w:color="auto" w:sz="4" w:space="0"/>
              <w:right w:val="single" w:color="auto" w:sz="4" w:space="0"/>
            </w:tcBorders>
            <w:vAlign w:val="center"/>
          </w:tcPr>
          <w:p w14:paraId="2CDB0F2B">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2" w:type="dxa"/>
            <w:tcBorders>
              <w:top w:val="single" w:color="auto" w:sz="4" w:space="0"/>
              <w:left w:val="single" w:color="auto" w:sz="4" w:space="0"/>
              <w:bottom w:val="single" w:color="auto" w:sz="4" w:space="0"/>
              <w:right w:val="single" w:color="auto" w:sz="4" w:space="0"/>
            </w:tcBorders>
            <w:vAlign w:val="center"/>
          </w:tcPr>
          <w:p w14:paraId="5D8F9996">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58" w:type="dxa"/>
            <w:tcBorders>
              <w:top w:val="single" w:color="auto" w:sz="4" w:space="0"/>
              <w:left w:val="nil"/>
              <w:bottom w:val="single" w:color="auto" w:sz="4" w:space="0"/>
              <w:right w:val="single" w:color="auto" w:sz="4" w:space="0"/>
            </w:tcBorders>
            <w:vAlign w:val="center"/>
          </w:tcPr>
          <w:p w14:paraId="385BB601">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3" w:type="dxa"/>
            <w:tcBorders>
              <w:top w:val="single" w:color="auto" w:sz="4" w:space="0"/>
              <w:left w:val="nil"/>
              <w:bottom w:val="single" w:color="auto" w:sz="4" w:space="0"/>
              <w:right w:val="single" w:color="auto" w:sz="4" w:space="0"/>
            </w:tcBorders>
            <w:vAlign w:val="center"/>
          </w:tcPr>
          <w:p w14:paraId="2C01E83E">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04" w:type="dxa"/>
            <w:tcBorders>
              <w:top w:val="single" w:color="auto" w:sz="4" w:space="0"/>
              <w:left w:val="nil"/>
              <w:bottom w:val="single" w:color="auto" w:sz="4" w:space="0"/>
              <w:right w:val="single" w:color="auto" w:sz="4" w:space="0"/>
            </w:tcBorders>
            <w:vAlign w:val="center"/>
          </w:tcPr>
          <w:p w14:paraId="6AC278C8">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41" w:type="dxa"/>
            <w:tcBorders>
              <w:top w:val="single" w:color="auto" w:sz="4" w:space="0"/>
              <w:left w:val="nil"/>
              <w:bottom w:val="single" w:color="auto" w:sz="4" w:space="0"/>
              <w:right w:val="single" w:color="auto" w:sz="4" w:space="0"/>
            </w:tcBorders>
            <w:vAlign w:val="center"/>
          </w:tcPr>
          <w:p w14:paraId="64F1F93E">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71" w:type="dxa"/>
            <w:tcBorders>
              <w:top w:val="single" w:color="auto" w:sz="4" w:space="0"/>
              <w:left w:val="single" w:color="auto" w:sz="4" w:space="0"/>
              <w:bottom w:val="single" w:color="auto" w:sz="4" w:space="0"/>
              <w:right w:val="single" w:color="auto" w:sz="4" w:space="0"/>
            </w:tcBorders>
            <w:vAlign w:val="center"/>
          </w:tcPr>
          <w:p w14:paraId="63598952">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1" w:type="dxa"/>
            <w:tcBorders>
              <w:top w:val="single" w:color="auto" w:sz="4" w:space="0"/>
              <w:left w:val="single" w:color="auto" w:sz="4" w:space="0"/>
              <w:bottom w:val="single" w:color="auto" w:sz="4" w:space="0"/>
              <w:right w:val="single" w:color="auto" w:sz="4" w:space="0"/>
            </w:tcBorders>
            <w:vAlign w:val="center"/>
          </w:tcPr>
          <w:p w14:paraId="402070C5">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03" w:type="dxa"/>
            <w:tcBorders>
              <w:top w:val="single" w:color="auto" w:sz="4" w:space="0"/>
              <w:left w:val="single" w:color="auto" w:sz="4" w:space="0"/>
              <w:bottom w:val="single" w:color="auto" w:sz="4" w:space="0"/>
              <w:right w:val="single" w:color="auto" w:sz="4" w:space="0"/>
            </w:tcBorders>
            <w:vAlign w:val="center"/>
          </w:tcPr>
          <w:p w14:paraId="664251D1">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2" w:type="dxa"/>
            <w:tcBorders>
              <w:top w:val="single" w:color="auto" w:sz="4" w:space="0"/>
              <w:left w:val="single" w:color="auto" w:sz="4" w:space="0"/>
              <w:bottom w:val="single" w:color="auto" w:sz="4" w:space="0"/>
              <w:right w:val="single" w:color="auto" w:sz="4" w:space="0"/>
            </w:tcBorders>
            <w:vAlign w:val="center"/>
          </w:tcPr>
          <w:p w14:paraId="381D1744">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71" w:type="dxa"/>
            <w:tcBorders>
              <w:top w:val="single" w:color="auto" w:sz="4" w:space="0"/>
              <w:left w:val="single" w:color="auto" w:sz="4" w:space="0"/>
              <w:bottom w:val="single" w:color="auto" w:sz="4" w:space="0"/>
              <w:right w:val="single" w:color="auto" w:sz="4" w:space="0"/>
            </w:tcBorders>
            <w:vAlign w:val="center"/>
          </w:tcPr>
          <w:p w14:paraId="5881CDDB">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vAlign w:val="center"/>
          </w:tcPr>
          <w:p w14:paraId="0AF8A26F">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36" w:type="dxa"/>
            <w:tcBorders>
              <w:top w:val="single" w:color="auto" w:sz="4" w:space="0"/>
              <w:left w:val="single" w:color="auto" w:sz="4" w:space="0"/>
              <w:bottom w:val="single" w:color="auto" w:sz="4" w:space="0"/>
              <w:right w:val="single" w:color="auto" w:sz="4" w:space="0"/>
            </w:tcBorders>
            <w:vAlign w:val="center"/>
          </w:tcPr>
          <w:p w14:paraId="0AE1B1CC">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71" w:type="dxa"/>
            <w:tcBorders>
              <w:top w:val="single" w:color="auto" w:sz="4" w:space="0"/>
              <w:left w:val="single" w:color="auto" w:sz="4" w:space="0"/>
              <w:bottom w:val="single" w:color="auto" w:sz="4" w:space="0"/>
              <w:right w:val="single" w:color="auto" w:sz="4" w:space="0"/>
            </w:tcBorders>
            <w:vAlign w:val="center"/>
          </w:tcPr>
          <w:p w14:paraId="473C61C8">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vAlign w:val="center"/>
          </w:tcPr>
          <w:p w14:paraId="40BF4FF4">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2" w:type="dxa"/>
            <w:tcBorders>
              <w:top w:val="single" w:color="auto" w:sz="4" w:space="0"/>
              <w:left w:val="single" w:color="auto" w:sz="4" w:space="0"/>
              <w:bottom w:val="single" w:color="auto" w:sz="4" w:space="0"/>
              <w:right w:val="single" w:color="auto" w:sz="4" w:space="0"/>
            </w:tcBorders>
            <w:vAlign w:val="center"/>
          </w:tcPr>
          <w:p w14:paraId="0CE0D1A7">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82" w:type="dxa"/>
            <w:tcBorders>
              <w:top w:val="single" w:color="auto" w:sz="4" w:space="0"/>
              <w:left w:val="single" w:color="auto" w:sz="4" w:space="0"/>
              <w:bottom w:val="single" w:color="auto" w:sz="4" w:space="0"/>
              <w:right w:val="single" w:color="auto" w:sz="4" w:space="0"/>
            </w:tcBorders>
            <w:vAlign w:val="center"/>
          </w:tcPr>
          <w:p w14:paraId="3E9952F1">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90" w:type="dxa"/>
            <w:tcBorders>
              <w:top w:val="single" w:color="auto" w:sz="4" w:space="0"/>
              <w:left w:val="single" w:color="auto" w:sz="4" w:space="0"/>
              <w:bottom w:val="single" w:color="auto" w:sz="4" w:space="0"/>
              <w:right w:val="single" w:color="auto" w:sz="4" w:space="0"/>
            </w:tcBorders>
            <w:vAlign w:val="center"/>
          </w:tcPr>
          <w:p w14:paraId="09EBCB3E">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0" w:type="dxa"/>
            <w:tcBorders>
              <w:top w:val="single" w:color="auto" w:sz="4" w:space="0"/>
              <w:left w:val="single" w:color="auto" w:sz="4" w:space="0"/>
              <w:bottom w:val="single" w:color="auto" w:sz="4" w:space="0"/>
              <w:right w:val="single" w:color="auto" w:sz="4" w:space="0"/>
            </w:tcBorders>
            <w:vAlign w:val="center"/>
          </w:tcPr>
          <w:p w14:paraId="72ED1DDE">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48" w:type="dxa"/>
            <w:tcBorders>
              <w:top w:val="single" w:color="auto" w:sz="4" w:space="0"/>
              <w:left w:val="single" w:color="auto" w:sz="4" w:space="0"/>
              <w:bottom w:val="single" w:color="auto" w:sz="4" w:space="0"/>
              <w:right w:val="single" w:color="auto" w:sz="4" w:space="0"/>
            </w:tcBorders>
            <w:vAlign w:val="center"/>
          </w:tcPr>
          <w:p w14:paraId="4DE90C10">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6" w:type="dxa"/>
            <w:tcBorders>
              <w:top w:val="single" w:color="auto" w:sz="4" w:space="0"/>
              <w:left w:val="single" w:color="auto" w:sz="4" w:space="0"/>
              <w:bottom w:val="single" w:color="auto" w:sz="4" w:space="0"/>
              <w:right w:val="single" w:color="auto" w:sz="4" w:space="0"/>
            </w:tcBorders>
            <w:vAlign w:val="center"/>
          </w:tcPr>
          <w:p w14:paraId="3D238F02">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97" w:type="dxa"/>
            <w:tcBorders>
              <w:top w:val="single" w:color="auto" w:sz="4" w:space="0"/>
              <w:left w:val="single" w:color="auto" w:sz="4" w:space="0"/>
              <w:bottom w:val="single" w:color="auto" w:sz="4" w:space="0"/>
              <w:right w:val="single" w:color="auto" w:sz="4" w:space="0"/>
            </w:tcBorders>
            <w:vAlign w:val="center"/>
          </w:tcPr>
          <w:p w14:paraId="5EFB94D5">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67" w:type="dxa"/>
            <w:tcBorders>
              <w:top w:val="single" w:color="auto" w:sz="4" w:space="0"/>
              <w:left w:val="single" w:color="auto" w:sz="4" w:space="0"/>
              <w:bottom w:val="single" w:color="auto" w:sz="4" w:space="0"/>
              <w:right w:val="single" w:color="auto" w:sz="4" w:space="0"/>
            </w:tcBorders>
            <w:vAlign w:val="center"/>
          </w:tcPr>
          <w:p w14:paraId="4777E042">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50" w:type="dxa"/>
            <w:tcBorders>
              <w:top w:val="single" w:color="auto" w:sz="4" w:space="0"/>
              <w:left w:val="single" w:color="auto" w:sz="4" w:space="0"/>
              <w:bottom w:val="single" w:color="auto" w:sz="4" w:space="0"/>
              <w:right w:val="single" w:color="auto" w:sz="4" w:space="0"/>
            </w:tcBorders>
            <w:vAlign w:val="center"/>
          </w:tcPr>
          <w:p w14:paraId="1445B731">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403" w:type="dxa"/>
            <w:tcBorders>
              <w:top w:val="single" w:color="auto" w:sz="4" w:space="0"/>
              <w:left w:val="single" w:color="auto" w:sz="4" w:space="0"/>
              <w:bottom w:val="single" w:color="auto" w:sz="4" w:space="0"/>
              <w:right w:val="single" w:color="auto" w:sz="4" w:space="0"/>
            </w:tcBorders>
            <w:vAlign w:val="center"/>
          </w:tcPr>
          <w:p w14:paraId="30E653B2">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c>
          <w:tcPr>
            <w:tcW w:w="360" w:type="dxa"/>
            <w:tcBorders>
              <w:top w:val="single" w:color="auto" w:sz="4" w:space="0"/>
              <w:left w:val="single" w:color="auto" w:sz="4" w:space="0"/>
              <w:bottom w:val="single" w:color="auto" w:sz="4" w:space="0"/>
              <w:right w:val="single" w:color="auto" w:sz="4" w:space="0"/>
            </w:tcBorders>
            <w:vAlign w:val="center"/>
          </w:tcPr>
          <w:p w14:paraId="26CBAB2C">
            <w:pPr>
              <w:widowControl/>
              <w:spacing w:line="240" w:lineRule="exact"/>
              <w:jc w:val="center"/>
              <w:rPr>
                <w:rFonts w:ascii="宋体" w:hAnsi="宋体" w:cs="宋体"/>
                <w:color w:val="000000" w:themeColor="text1"/>
                <w:kern w:val="0"/>
                <w:sz w:val="18"/>
                <w:szCs w:val="18"/>
                <w14:textFill>
                  <w14:solidFill>
                    <w14:schemeClr w14:val="tx1"/>
                  </w14:solidFill>
                </w14:textFill>
              </w:rPr>
            </w:pPr>
          </w:p>
        </w:tc>
      </w:tr>
      <w:tr w14:paraId="69F86E57">
        <w:tblPrEx>
          <w:tblCellMar>
            <w:top w:w="0" w:type="dxa"/>
            <w:left w:w="108" w:type="dxa"/>
            <w:bottom w:w="0" w:type="dxa"/>
            <w:right w:w="108" w:type="dxa"/>
          </w:tblCellMar>
        </w:tblPrEx>
        <w:trPr>
          <w:trHeight w:val="1134" w:hRule="atLeast"/>
        </w:trPr>
        <w:tc>
          <w:tcPr>
            <w:tcW w:w="11487" w:type="dxa"/>
            <w:gridSpan w:val="30"/>
            <w:tcBorders>
              <w:top w:val="single" w:color="auto" w:sz="4" w:space="0"/>
              <w:left w:val="single" w:color="auto" w:sz="4" w:space="0"/>
              <w:bottom w:val="single" w:color="auto" w:sz="4" w:space="0"/>
              <w:right w:val="single" w:color="auto" w:sz="4" w:space="0"/>
            </w:tcBorders>
            <w:vAlign w:val="center"/>
          </w:tcPr>
          <w:p w14:paraId="3F9235CB">
            <w:pPr>
              <w:widowControl/>
              <w:ind w:firstLine="360" w:firstLineChars="200"/>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vertAlign w:val="superscript"/>
                <w14:textFill>
                  <w14:solidFill>
                    <w14:schemeClr w14:val="tx1"/>
                  </w14:solidFill>
                </w14:textFill>
              </w:rPr>
              <w:t xml:space="preserve">a  </w:t>
            </w:r>
            <w:r>
              <w:rPr>
                <w:rFonts w:hint="eastAsia" w:ascii="宋体" w:hAnsi="宋体" w:cs="宋体"/>
                <w:color w:val="000000" w:themeColor="text1"/>
                <w:kern w:val="0"/>
                <w:sz w:val="18"/>
                <w:szCs w:val="18"/>
                <w14:textFill>
                  <w14:solidFill>
                    <w14:schemeClr w14:val="tx1"/>
                  </w14:solidFill>
                </w14:textFill>
              </w:rPr>
              <w:t>接受职业健康培训劳动者人数≤接触职业病危害因素人数。</w:t>
            </w:r>
          </w:p>
          <w:p w14:paraId="4632B522">
            <w:pPr>
              <w:widowControl/>
              <w:ind w:firstLine="360" w:firstLineChars="200"/>
              <w:rPr>
                <w:rFonts w:hint="eastAsia" w:ascii="宋体" w:hAnsi="宋体" w:cs="宋体"/>
                <w:color w:val="000000" w:themeColor="text1"/>
                <w:kern w:val="0"/>
                <w:sz w:val="18"/>
                <w:szCs w:val="18"/>
                <w:vertAlign w:val="superscript"/>
                <w14:textFill>
                  <w14:solidFill>
                    <w14:schemeClr w14:val="tx1"/>
                  </w14:solidFill>
                </w14:textFill>
              </w:rPr>
            </w:pPr>
            <w:r>
              <w:rPr>
                <w:rFonts w:hint="eastAsia" w:ascii="宋体" w:hAnsi="宋体" w:cs="宋体"/>
                <w:color w:val="000000" w:themeColor="text1"/>
                <w:kern w:val="0"/>
                <w:sz w:val="18"/>
                <w:szCs w:val="18"/>
                <w:vertAlign w:val="superscript"/>
                <w14:textFill>
                  <w14:solidFill>
                    <w14:schemeClr w14:val="tx1"/>
                  </w14:solidFill>
                </w14:textFill>
              </w:rPr>
              <w:t xml:space="preserve">b  </w:t>
            </w:r>
            <w:r>
              <w:rPr>
                <w:rFonts w:hint="eastAsia" w:ascii="宋体" w:hAnsi="宋体" w:cs="宋体"/>
                <w:color w:val="000000" w:themeColor="text1"/>
                <w:kern w:val="0"/>
                <w:sz w:val="18"/>
                <w:szCs w:val="18"/>
                <w14:textFill>
                  <w14:solidFill>
                    <w14:schemeClr w14:val="tx1"/>
                  </w14:solidFill>
                </w14:textFill>
              </w:rPr>
              <w:t>帮扶前最近一次检测情况指附录A职业病危害现状调查表中601-607调查结果；帮扶后最近一次检测情况指本次帮扶工作期间完成的作业场所职业病危害因素检测结果。</w:t>
            </w:r>
          </w:p>
        </w:tc>
      </w:tr>
    </w:tbl>
    <w:p w14:paraId="2ED99F2E">
      <w:pPr>
        <w:pStyle w:val="60"/>
        <w:ind w:firstLine="420"/>
      </w:pPr>
      <w:r>
        <w:rPr>
          <w:rFonts w:hint="eastAsia"/>
        </w:rPr>
        <w:t>帮扶</w:t>
      </w:r>
      <w:r>
        <w:rPr>
          <w:rFonts w:hint="eastAsia"/>
          <w:color w:val="000000" w:themeColor="text1"/>
          <w14:textFill>
            <w14:solidFill>
              <w14:schemeClr w14:val="tx1"/>
            </w14:solidFill>
          </w14:textFill>
        </w:rPr>
        <w:t>前（后）小微企业职业健康管理情况登记表，见表</w:t>
      </w:r>
      <w:r>
        <w:rPr>
          <w:rFonts w:hint="eastAsia" w:hAnsi="宋体" w:cs="宋体"/>
          <w:color w:val="000000" w:themeColor="text1"/>
          <w14:textFill>
            <w14:solidFill>
              <w14:schemeClr w14:val="tx1"/>
            </w14:solidFill>
          </w14:textFill>
        </w:rPr>
        <w:t>B.1。</w:t>
      </w:r>
    </w:p>
    <w:p w14:paraId="2E914CAF">
      <w:pPr>
        <w:spacing w:before="156" w:beforeLines="50"/>
        <w:jc w:val="center"/>
        <w:outlineLvl w:val="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表B.1  帮扶前（后）小微企业职业健康管理情况登记表</w:t>
      </w:r>
    </w:p>
    <w:p w14:paraId="6F5CCE7C">
      <w:pPr>
        <w:pStyle w:val="2"/>
      </w:pPr>
    </w:p>
    <w:p w14:paraId="12BA70A7">
      <w:pPr>
        <w:pStyle w:val="60"/>
        <w:ind w:firstLine="420"/>
      </w:pPr>
    </w:p>
    <w:p w14:paraId="33D3A1F3">
      <w:pPr>
        <w:pStyle w:val="60"/>
        <w:ind w:firstLine="420"/>
      </w:pPr>
    </w:p>
    <w:p w14:paraId="39D8CE2D">
      <w:pPr>
        <w:pStyle w:val="60"/>
        <w:ind w:firstLine="420"/>
      </w:pPr>
    </w:p>
    <w:p w14:paraId="241AF4A9">
      <w:pPr>
        <w:pStyle w:val="60"/>
        <w:ind w:firstLine="420"/>
        <w:sectPr>
          <w:pgSz w:w="11906" w:h="16838"/>
          <w:pgMar w:top="1928" w:right="1134" w:bottom="1134" w:left="1134" w:header="1418" w:footer="1134" w:gutter="284"/>
          <w:cols w:space="425" w:num="1"/>
          <w:formProt w:val="0"/>
          <w:docGrid w:type="lines" w:linePitch="312" w:charSpace="0"/>
        </w:sectPr>
      </w:pPr>
    </w:p>
    <w:p w14:paraId="03435487">
      <w:pPr>
        <w:pStyle w:val="202"/>
        <w:rPr>
          <w:vanish w:val="0"/>
        </w:rPr>
      </w:pPr>
    </w:p>
    <w:p w14:paraId="76B60870">
      <w:pPr>
        <w:pStyle w:val="203"/>
        <w:rPr>
          <w:vanish w:val="0"/>
        </w:rPr>
      </w:pPr>
    </w:p>
    <w:p w14:paraId="18B0646B">
      <w:pPr>
        <w:pStyle w:val="80"/>
        <w:spacing w:after="156"/>
      </w:pPr>
      <w:r>
        <w:br w:type="textWrapping"/>
      </w:r>
      <w:bookmarkStart w:id="434" w:name="_Toc163652537"/>
      <w:bookmarkStart w:id="435" w:name="_Toc163652163"/>
      <w:bookmarkStart w:id="436" w:name="_Toc163652596"/>
      <w:bookmarkStart w:id="437" w:name="_Toc163652636"/>
      <w:bookmarkStart w:id="438" w:name="_Toc163651723"/>
      <w:bookmarkStart w:id="439" w:name="_Toc163652233"/>
      <w:bookmarkStart w:id="440" w:name="_Toc163652477"/>
      <w:bookmarkStart w:id="441" w:name="_Toc163652052"/>
      <w:r>
        <w:rPr>
          <w:rFonts w:hint="eastAsia"/>
        </w:rPr>
        <w:t>（资料性）</w:t>
      </w:r>
      <w:r>
        <w:br w:type="textWrapping"/>
      </w:r>
      <w:r>
        <w:rPr>
          <w:rFonts w:hint="eastAsia"/>
        </w:rPr>
        <w:t>小微企业职业健康帮扶效果评估考核表</w:t>
      </w:r>
      <w:bookmarkEnd w:id="434"/>
      <w:bookmarkEnd w:id="435"/>
      <w:bookmarkEnd w:id="436"/>
      <w:bookmarkEnd w:id="437"/>
      <w:bookmarkEnd w:id="438"/>
      <w:bookmarkEnd w:id="439"/>
      <w:bookmarkEnd w:id="440"/>
      <w:bookmarkEnd w:id="441"/>
    </w:p>
    <w:p w14:paraId="183D210D">
      <w:pPr>
        <w:pStyle w:val="60"/>
        <w:ind w:firstLine="420"/>
      </w:pPr>
      <w:r>
        <w:rPr>
          <w:rFonts w:hint="eastAsia"/>
        </w:rPr>
        <w:t>小微企业</w:t>
      </w:r>
      <w:r>
        <w:rPr>
          <w:rFonts w:hint="eastAsia"/>
          <w:color w:val="000000" w:themeColor="text1"/>
          <w14:textFill>
            <w14:solidFill>
              <w14:schemeClr w14:val="tx1"/>
            </w14:solidFill>
          </w14:textFill>
        </w:rPr>
        <w:t>职业健康帮扶效果评估考核表，见表</w:t>
      </w:r>
      <w:r>
        <w:rPr>
          <w:rFonts w:hint="eastAsia" w:hAnsi="宋体" w:cs="宋体"/>
          <w:color w:val="000000" w:themeColor="text1"/>
          <w14:textFill>
            <w14:solidFill>
              <w14:schemeClr w14:val="tx1"/>
            </w14:solidFill>
          </w14:textFill>
        </w:rPr>
        <w:t>C.1。</w:t>
      </w:r>
    </w:p>
    <w:p w14:paraId="7213E2EB">
      <w:pPr>
        <w:spacing w:before="156" w:beforeLines="50" w:after="156" w:afterLines="50"/>
        <w:jc w:val="center"/>
        <w:outlineLvl w:val="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表C.1  小微企业职业健康帮扶效果评估考核表</w:t>
      </w:r>
    </w:p>
    <w:tbl>
      <w:tblPr>
        <w:tblStyle w:val="30"/>
        <w:tblW w:w="99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638"/>
        <w:gridCol w:w="6341"/>
        <w:gridCol w:w="955"/>
        <w:gridCol w:w="680"/>
      </w:tblGrid>
      <w:tr w14:paraId="4E63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tcPr>
          <w:p w14:paraId="38D6BE84">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指标</w:t>
            </w:r>
          </w:p>
        </w:tc>
        <w:tc>
          <w:tcPr>
            <w:tcW w:w="638" w:type="dxa"/>
          </w:tcPr>
          <w:p w14:paraId="04C4398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分值</w:t>
            </w:r>
          </w:p>
        </w:tc>
        <w:tc>
          <w:tcPr>
            <w:tcW w:w="6341" w:type="dxa"/>
          </w:tcPr>
          <w:p w14:paraId="5E9784E2">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指标内容</w:t>
            </w:r>
          </w:p>
        </w:tc>
        <w:tc>
          <w:tcPr>
            <w:tcW w:w="955" w:type="dxa"/>
          </w:tcPr>
          <w:p w14:paraId="6725990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标准分值</w:t>
            </w:r>
          </w:p>
        </w:tc>
        <w:tc>
          <w:tcPr>
            <w:tcW w:w="680" w:type="dxa"/>
          </w:tcPr>
          <w:p w14:paraId="2DB8A853">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得分</w:t>
            </w:r>
          </w:p>
        </w:tc>
      </w:tr>
      <w:tr w14:paraId="0C57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300" w:type="dxa"/>
            <w:vMerge w:val="restart"/>
            <w:vAlign w:val="center"/>
          </w:tcPr>
          <w:p w14:paraId="7E5DDC3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一、管理部门、人员、经费</w:t>
            </w:r>
          </w:p>
        </w:tc>
        <w:tc>
          <w:tcPr>
            <w:tcW w:w="638" w:type="dxa"/>
            <w:vMerge w:val="restart"/>
            <w:vAlign w:val="center"/>
          </w:tcPr>
          <w:p w14:paraId="20B1AB2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6341" w:type="dxa"/>
          </w:tcPr>
          <w:p w14:paraId="46A6E386">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1.设置或者指定职业卫生管理机构或者组织，负责职业病防治工作（2分，不规范扣1分，未设置不得分）。</w:t>
            </w:r>
          </w:p>
        </w:tc>
        <w:tc>
          <w:tcPr>
            <w:tcW w:w="955" w:type="dxa"/>
            <w:vAlign w:val="center"/>
          </w:tcPr>
          <w:p w14:paraId="32269998">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7690CB1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2F4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00" w:type="dxa"/>
            <w:vMerge w:val="continue"/>
          </w:tcPr>
          <w:p w14:paraId="3386A9AE">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tcPr>
          <w:p w14:paraId="0AAC46FD">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5536BB1F">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2.配备专职或者兼职的职业卫生管理人员，负责职业病防治工作（2分，不规范扣1分，未设置不得分）。</w:t>
            </w:r>
          </w:p>
        </w:tc>
        <w:tc>
          <w:tcPr>
            <w:tcW w:w="955" w:type="dxa"/>
            <w:vAlign w:val="center"/>
          </w:tcPr>
          <w:p w14:paraId="7B22A767">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1DDC800E">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07B9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300" w:type="dxa"/>
            <w:vMerge w:val="continue"/>
          </w:tcPr>
          <w:p w14:paraId="4C80E39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tcPr>
          <w:p w14:paraId="63D1D588">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17FD213E">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3.制定具有可操作性的年度职业病防治计划和实施方案，并按计划落实（2分，不规范或不具备可操作性扣1分，未制定不得分）。</w:t>
            </w:r>
          </w:p>
        </w:tc>
        <w:tc>
          <w:tcPr>
            <w:tcW w:w="955" w:type="dxa"/>
            <w:vAlign w:val="center"/>
          </w:tcPr>
          <w:p w14:paraId="6E45192C">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12FB13A1">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DD8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300" w:type="dxa"/>
            <w:vMerge w:val="continue"/>
          </w:tcPr>
          <w:p w14:paraId="718A5CA5">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tcPr>
          <w:p w14:paraId="038E063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12F46E6D">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4.保障职业病防治所需得资金投入（2分，资金不能满足职业病防治需求或未有职业病防治资金，不得分）。</w:t>
            </w:r>
          </w:p>
        </w:tc>
        <w:tc>
          <w:tcPr>
            <w:tcW w:w="955" w:type="dxa"/>
            <w:vAlign w:val="center"/>
          </w:tcPr>
          <w:p w14:paraId="2236F9A7">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3E22681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6A21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tcPr>
          <w:p w14:paraId="41E947A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tcPr>
          <w:p w14:paraId="072BE2B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65D6DDD3">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5.依法参加工伤保险（2分，未依法参与工伤保险不得分）。</w:t>
            </w:r>
          </w:p>
        </w:tc>
        <w:tc>
          <w:tcPr>
            <w:tcW w:w="955" w:type="dxa"/>
            <w:vAlign w:val="center"/>
          </w:tcPr>
          <w:p w14:paraId="49D94D7B">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1CA6742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9A2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restart"/>
            <w:vAlign w:val="center"/>
          </w:tcPr>
          <w:p w14:paraId="2A756EF1">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二、职业病危害项目（变更）申报</w:t>
            </w:r>
          </w:p>
        </w:tc>
        <w:tc>
          <w:tcPr>
            <w:tcW w:w="638" w:type="dxa"/>
            <w:vMerge w:val="restart"/>
            <w:vAlign w:val="center"/>
          </w:tcPr>
          <w:p w14:paraId="2EFFF8C2">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6341" w:type="dxa"/>
          </w:tcPr>
          <w:p w14:paraId="16D9B031">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1.根据帮扶现状调查的职业病危害因素，及时、如实向所在地卫生行政部门申报危害项目（6分，每缺一项职业病危害因素，扣2分，扣完为止；当年未及时进行年度更新扣2分；未完成初次申报扣6分）。</w:t>
            </w:r>
          </w:p>
        </w:tc>
        <w:tc>
          <w:tcPr>
            <w:tcW w:w="955" w:type="dxa"/>
            <w:vAlign w:val="center"/>
          </w:tcPr>
          <w:p w14:paraId="2291935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680" w:type="dxa"/>
          </w:tcPr>
          <w:p w14:paraId="705F78A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7DA7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300" w:type="dxa"/>
            <w:vMerge w:val="continue"/>
            <w:vAlign w:val="center"/>
          </w:tcPr>
          <w:p w14:paraId="1303792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28A17CE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1E95C828">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2.重要事项变化时按要求及时、如实进行变更申报。（2分，未按要求变更申报或变更申报内容不符不得分）</w:t>
            </w:r>
          </w:p>
        </w:tc>
        <w:tc>
          <w:tcPr>
            <w:tcW w:w="955" w:type="dxa"/>
            <w:vAlign w:val="center"/>
          </w:tcPr>
          <w:p w14:paraId="2D653C0C">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7897FFB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C68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restart"/>
            <w:vAlign w:val="center"/>
          </w:tcPr>
          <w:p w14:paraId="78D25AB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三、职业卫生管理制度和操作规程</w:t>
            </w:r>
          </w:p>
        </w:tc>
        <w:tc>
          <w:tcPr>
            <w:tcW w:w="638" w:type="dxa"/>
            <w:vMerge w:val="restart"/>
            <w:vAlign w:val="center"/>
          </w:tcPr>
          <w:p w14:paraId="51EB698D">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w:t>
            </w:r>
          </w:p>
        </w:tc>
        <w:tc>
          <w:tcPr>
            <w:tcW w:w="6341" w:type="dxa"/>
          </w:tcPr>
          <w:p w14:paraId="211D3D80">
            <w:pPr>
              <w:widowControl/>
              <w:snapToGrid w:val="0"/>
              <w:spacing w:line="280" w:lineRule="exact"/>
              <w:jc w:val="lef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建立、健全12项职业卫生管理制度：职业病危害防治责任制度，职业病危害警示与告知制度，职业病危害项目申报制度，职业病防治宣传教育培训制度，职业病防护设施维护检修制度，职业病防护用品管理制度，职业病危害监测及评价管理制度，建设项目职业病防护设施“三同时”管理制度，劳动者职业健康监护及其档案管理制度，职业病危害事故处置与报告制度，职业病危害应急救援与管理制度；法律、法规、规章规定的其他职业病防治制度。制度符合单位自身特点，具有可操作性。（5分，每项</w:t>
            </w:r>
            <w:r>
              <w:rPr>
                <w:rFonts w:hint="eastAsia" w:ascii="宋体" w:hAnsi="宋体" w:cs="宋体"/>
                <w:color w:val="000000" w:themeColor="text1"/>
                <w:kern w:val="0"/>
                <w:sz w:val="18"/>
                <w:szCs w:val="18"/>
                <w:shd w:val="clear" w:color="auto" w:fill="FFFFFF"/>
                <w14:textFill>
                  <w14:solidFill>
                    <w14:schemeClr w14:val="tx1"/>
                  </w14:solidFill>
                </w14:textFill>
              </w:rPr>
              <w:t>不规范扣0.3分，</w:t>
            </w:r>
            <w:r>
              <w:rPr>
                <w:rFonts w:hint="eastAsia" w:ascii="宋体" w:hAnsi="宋体" w:cs="宋体"/>
                <w:color w:val="000000" w:themeColor="text1"/>
                <w:kern w:val="0"/>
                <w:sz w:val="18"/>
                <w:szCs w:val="18"/>
                <w14:textFill>
                  <w14:solidFill>
                    <w14:schemeClr w14:val="tx1"/>
                  </w14:solidFill>
                </w14:textFill>
              </w:rPr>
              <w:t>缺一项内容扣0.5分，扣完为止）。</w:t>
            </w:r>
          </w:p>
        </w:tc>
        <w:tc>
          <w:tcPr>
            <w:tcW w:w="955" w:type="dxa"/>
            <w:vAlign w:val="center"/>
          </w:tcPr>
          <w:p w14:paraId="00FD0864">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80" w:type="dxa"/>
          </w:tcPr>
          <w:p w14:paraId="018FC7F5">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F08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7EDE5A8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57163DE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744F496B">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2.制定岗位职业卫生操作规程，符合单位自身特点，具有可操作性（2分，不规范酌情扣分，未制定不得分）。</w:t>
            </w:r>
          </w:p>
        </w:tc>
        <w:tc>
          <w:tcPr>
            <w:tcW w:w="955" w:type="dxa"/>
            <w:vAlign w:val="center"/>
          </w:tcPr>
          <w:p w14:paraId="596DE63B">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3CB96194">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33A8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restart"/>
            <w:vAlign w:val="center"/>
          </w:tcPr>
          <w:p w14:paraId="4A9A7333">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四、职业健康培训</w:t>
            </w:r>
          </w:p>
        </w:tc>
        <w:tc>
          <w:tcPr>
            <w:tcW w:w="638" w:type="dxa"/>
            <w:vMerge w:val="restart"/>
            <w:vAlign w:val="center"/>
          </w:tcPr>
          <w:p w14:paraId="211F1A3F">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341" w:type="dxa"/>
          </w:tcPr>
          <w:p w14:paraId="49F70090">
            <w:pPr>
              <w:snapToGrid w:val="0"/>
              <w:spacing w:line="280" w:lineRule="exac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1.主要负责人接受职业卫生培训（有培训证书或相关培训证明材料得1分，未培训不得分）。</w:t>
            </w:r>
          </w:p>
        </w:tc>
        <w:tc>
          <w:tcPr>
            <w:tcW w:w="955" w:type="dxa"/>
            <w:vAlign w:val="center"/>
          </w:tcPr>
          <w:p w14:paraId="0FBE864F">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80" w:type="dxa"/>
          </w:tcPr>
          <w:p w14:paraId="5F1B15F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34AC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tcPr>
          <w:p w14:paraId="21CE78B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5D3F000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34B8B75A">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2.职业卫生管理人员接受职业卫生培训（有培训证书或相关培训证明材料得1分，未培训不得分）。</w:t>
            </w:r>
          </w:p>
        </w:tc>
        <w:tc>
          <w:tcPr>
            <w:tcW w:w="955" w:type="dxa"/>
            <w:vAlign w:val="center"/>
          </w:tcPr>
          <w:p w14:paraId="0C280BFA">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80" w:type="dxa"/>
          </w:tcPr>
          <w:p w14:paraId="5DB3C92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694D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tcPr>
          <w:p w14:paraId="4B216F9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0C99E3B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3C8DF7A4">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3.对劳动者进行上岗前的职业卫生培训，培训率达100%（1分，培训率每下降10%，扣0.5分，扣完为止）。</w:t>
            </w:r>
          </w:p>
        </w:tc>
        <w:tc>
          <w:tcPr>
            <w:tcW w:w="955" w:type="dxa"/>
            <w:vAlign w:val="center"/>
          </w:tcPr>
          <w:p w14:paraId="50D3D1FF">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80" w:type="dxa"/>
          </w:tcPr>
          <w:p w14:paraId="27311B1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8B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tcPr>
          <w:p w14:paraId="44996A18">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355C289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05C18142">
            <w:pPr>
              <w:widowControl/>
              <w:snapToGrid w:val="0"/>
              <w:spacing w:line="280" w:lineRule="exact"/>
              <w:jc w:val="left"/>
              <w:rPr>
                <w:rFonts w:ascii="宋体" w:hAnsi="宋体" w:cs="宋体"/>
                <w:color w:val="000000" w:themeColor="text1"/>
                <w:kern w:val="0"/>
                <w:sz w:val="18"/>
                <w:szCs w:val="18"/>
                <w:shd w:val="clear" w:color="auto" w:fill="FFFFFF"/>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4.对劳动者进行在岗期间的职业卫生培训，培训内容、学时符合要求，培训率达100%（1分，培训率每下降10%，扣0.5分，扣完为止）。</w:t>
            </w:r>
          </w:p>
        </w:tc>
        <w:tc>
          <w:tcPr>
            <w:tcW w:w="955" w:type="dxa"/>
            <w:vAlign w:val="center"/>
          </w:tcPr>
          <w:p w14:paraId="5383F15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80" w:type="dxa"/>
          </w:tcPr>
          <w:p w14:paraId="427FC036">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bl>
    <w:p w14:paraId="653BDAF6">
      <w:pPr>
        <w:pStyle w:val="60"/>
        <w:ind w:firstLine="420"/>
      </w:pPr>
    </w:p>
    <w:p w14:paraId="7D8FDB7F">
      <w:pPr>
        <w:pStyle w:val="60"/>
        <w:ind w:firstLine="420"/>
      </w:pPr>
    </w:p>
    <w:p w14:paraId="1AE7FCFF">
      <w:pPr>
        <w:pStyle w:val="60"/>
        <w:ind w:firstLine="420"/>
      </w:pPr>
    </w:p>
    <w:p w14:paraId="2F69B340">
      <w:pPr>
        <w:pStyle w:val="60"/>
        <w:ind w:firstLine="420"/>
      </w:pPr>
    </w:p>
    <w:p w14:paraId="6A99E281">
      <w:pPr>
        <w:spacing w:before="156" w:beforeLines="50" w:after="156" w:afterLines="50"/>
        <w:jc w:val="center"/>
        <w:outlineLvl w:val="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表C.1  小微企业职业健康帮扶效果评估考核表</w:t>
      </w:r>
      <w:r>
        <w:rPr>
          <w:rFonts w:hint="eastAsia" w:asciiTheme="minorEastAsia" w:hAnsiTheme="minorEastAsia" w:cstheme="minorEastAsia"/>
          <w:color w:val="000000" w:themeColor="text1"/>
          <w14:textFill>
            <w14:solidFill>
              <w14:schemeClr w14:val="tx1"/>
            </w14:solidFill>
          </w14:textFill>
        </w:rPr>
        <w:t>（续）</w:t>
      </w:r>
    </w:p>
    <w:tbl>
      <w:tblPr>
        <w:tblStyle w:val="30"/>
        <w:tblW w:w="99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638"/>
        <w:gridCol w:w="6341"/>
        <w:gridCol w:w="955"/>
        <w:gridCol w:w="680"/>
      </w:tblGrid>
      <w:tr w14:paraId="4E7C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restart"/>
            <w:vAlign w:val="center"/>
          </w:tcPr>
          <w:p w14:paraId="0E171D3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五、职业病防护设施及现场管理情况</w:t>
            </w:r>
          </w:p>
        </w:tc>
        <w:tc>
          <w:tcPr>
            <w:tcW w:w="638" w:type="dxa"/>
            <w:vMerge w:val="restart"/>
            <w:vAlign w:val="center"/>
          </w:tcPr>
          <w:p w14:paraId="48C151DC">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20</w:t>
            </w:r>
          </w:p>
        </w:tc>
        <w:tc>
          <w:tcPr>
            <w:tcW w:w="6341" w:type="dxa"/>
            <w:vAlign w:val="center"/>
          </w:tcPr>
          <w:p w14:paraId="241E2EE9">
            <w:pPr>
              <w:widowControl/>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1.开展职业病危害因素检测，最近一次</w:t>
            </w:r>
            <w:r>
              <w:rPr>
                <w:rFonts w:hint="eastAsia" w:ascii="宋体" w:hAnsi="宋体" w:cs="宋体"/>
                <w:color w:val="000000" w:themeColor="text1"/>
                <w:kern w:val="0"/>
                <w:sz w:val="18"/>
                <w:szCs w:val="18"/>
                <w:shd w:val="clear" w:color="auto" w:fill="FFFFFF"/>
                <w14:textFill>
                  <w14:solidFill>
                    <w14:schemeClr w14:val="tx1"/>
                  </w14:solidFill>
                </w14:textFill>
              </w:rPr>
              <w:t>职业病危害因素</w:t>
            </w:r>
            <w:r>
              <w:rPr>
                <w:rFonts w:hint="eastAsia" w:ascii="宋体" w:hAnsi="宋体" w:cs="宋体"/>
                <w:color w:val="000000" w:themeColor="text1"/>
                <w:kern w:val="0"/>
                <w:sz w:val="18"/>
                <w:szCs w:val="18"/>
                <w14:textFill>
                  <w14:solidFill>
                    <w14:schemeClr w14:val="tx1"/>
                  </w14:solidFill>
                </w14:textFill>
              </w:rPr>
              <w:t>场所检测</w:t>
            </w:r>
            <w:r>
              <w:rPr>
                <w:rFonts w:hint="eastAsia" w:ascii="宋体" w:hAnsi="宋体" w:cs="宋体"/>
                <w:color w:val="000000" w:themeColor="text1"/>
                <w:sz w:val="18"/>
                <w:szCs w:val="18"/>
                <w14:textFill>
                  <w14:solidFill>
                    <w14:schemeClr w14:val="tx1"/>
                  </w14:solidFill>
                </w14:textFill>
              </w:rPr>
              <w:t>点数或检测岗位数合格率≧90%</w:t>
            </w:r>
            <w:r>
              <w:rPr>
                <w:rFonts w:hint="eastAsia" w:ascii="宋体" w:hAnsi="宋体" w:cs="宋体"/>
                <w:color w:val="000000" w:themeColor="text1"/>
                <w:kern w:val="0"/>
                <w:sz w:val="18"/>
                <w:szCs w:val="18"/>
                <w:shd w:val="clear" w:color="auto" w:fill="FFFFFF"/>
                <w14:textFill>
                  <w14:solidFill>
                    <w14:schemeClr w14:val="tx1"/>
                  </w14:solidFill>
                </w14:textFill>
              </w:rPr>
              <w:t>（5分，合格率每降低5%扣1分；如企业针对超标岗位落实整改措施后，现有工程技术不能使作业岗位危害浓（强）度达到限值要求的，酌情扣分）。</w:t>
            </w:r>
          </w:p>
        </w:tc>
        <w:tc>
          <w:tcPr>
            <w:tcW w:w="955" w:type="dxa"/>
            <w:vAlign w:val="center"/>
          </w:tcPr>
          <w:p w14:paraId="69DE787A">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80" w:type="dxa"/>
          </w:tcPr>
          <w:p w14:paraId="2014162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79B3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0F88B8D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7EEE86B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00F0BE31">
            <w:pPr>
              <w:widowControl/>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2.按规定开展职业病危害现状评价工作（2分，未开展现状评价扣2分）</w:t>
            </w:r>
          </w:p>
        </w:tc>
        <w:tc>
          <w:tcPr>
            <w:tcW w:w="955" w:type="dxa"/>
            <w:vAlign w:val="center"/>
          </w:tcPr>
          <w:p w14:paraId="48C29248">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7683AC6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3FE3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050CA424">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65009E0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332505B9">
            <w:pPr>
              <w:widowControl/>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不得隐瞒技术、工艺、设备和材料所产生的职业病危害。生产原辅材料的有毒有害成分明确，主要原材料化学品安全技术说明书齐全（2分，隐瞒工艺、设备产生的危害不得分；原辅材料每缺少一项化学品安全技术说明书扣1分）。</w:t>
            </w:r>
          </w:p>
        </w:tc>
        <w:tc>
          <w:tcPr>
            <w:tcW w:w="955" w:type="dxa"/>
            <w:vAlign w:val="center"/>
          </w:tcPr>
          <w:p w14:paraId="16C08F4B">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2C4F56A4">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D0C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0283326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0276B5A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2104288B">
            <w:pPr>
              <w:snapToGrid w:val="0"/>
              <w:spacing w:line="280" w:lineRule="exac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生产布局合理，作业场所与生活场所分开、有害作业与无害作业分开、高毒作业场所与其它作业场所隔离，根据工业企业生产特点、实际需要和使用方便的原则设置辅助用室（3分，每有一处不合理扣1分，扣完为止）。</w:t>
            </w:r>
          </w:p>
        </w:tc>
        <w:tc>
          <w:tcPr>
            <w:tcW w:w="955" w:type="dxa"/>
            <w:vAlign w:val="center"/>
          </w:tcPr>
          <w:p w14:paraId="0B817FA3">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3D376961">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47E3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06F435E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03EC2B2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68F92002">
            <w:pPr>
              <w:widowControl/>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5.有与职业病防治工作相适应的有效防护设施（5分，每有一处不符合扣1分，扣完为止）。</w:t>
            </w:r>
          </w:p>
        </w:tc>
        <w:tc>
          <w:tcPr>
            <w:tcW w:w="955" w:type="dxa"/>
            <w:vAlign w:val="center"/>
          </w:tcPr>
          <w:p w14:paraId="0384904A">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80" w:type="dxa"/>
          </w:tcPr>
          <w:p w14:paraId="43EBAD5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DD5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continue"/>
            <w:vAlign w:val="center"/>
          </w:tcPr>
          <w:p w14:paraId="430D98C0">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48D8E50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6A939FC0">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6.警示标识告知：</w:t>
            </w:r>
            <w:r>
              <w:rPr>
                <w:rFonts w:hint="eastAsia" w:ascii="宋体" w:hAnsi="宋体" w:cs="宋体"/>
                <w:color w:val="000000" w:themeColor="text1"/>
                <w:kern w:val="0"/>
                <w:sz w:val="18"/>
                <w:szCs w:val="18"/>
                <w14:textFill>
                  <w14:solidFill>
                    <w14:schemeClr w14:val="tx1"/>
                  </w14:solidFill>
                </w14:textFill>
              </w:rPr>
              <w:t>对存在或者产生职业病危害的工作场所、作业岗位、设备、设施，在醒目位置设置警示标识和中文警示说明，设置率达100%（3分，设置率每下降10%扣0.3分，扣完为止；未规范设置或未设置扣3分）。</w:t>
            </w:r>
          </w:p>
        </w:tc>
        <w:tc>
          <w:tcPr>
            <w:tcW w:w="955" w:type="dxa"/>
            <w:vAlign w:val="center"/>
          </w:tcPr>
          <w:p w14:paraId="563416B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69078E5E">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DD4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restart"/>
            <w:vAlign w:val="center"/>
          </w:tcPr>
          <w:p w14:paraId="0EDB4EC8">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六、职业病防护用品</w:t>
            </w:r>
          </w:p>
        </w:tc>
        <w:tc>
          <w:tcPr>
            <w:tcW w:w="638" w:type="dxa"/>
            <w:vMerge w:val="restart"/>
            <w:vAlign w:val="center"/>
          </w:tcPr>
          <w:p w14:paraId="4364BB23">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6341" w:type="dxa"/>
          </w:tcPr>
          <w:p w14:paraId="1A41BFF3">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1.提供符合防治职业病要求的个人使用的职业病防护用品，配发率达100%</w:t>
            </w:r>
            <w:r>
              <w:rPr>
                <w:rFonts w:hint="eastAsia" w:ascii="宋体" w:hAnsi="宋体" w:cs="宋体"/>
                <w:color w:val="000000" w:themeColor="text1"/>
                <w:kern w:val="0"/>
                <w:sz w:val="18"/>
                <w:szCs w:val="18"/>
                <w:shd w:val="clear" w:color="auto" w:fill="FFFFFF"/>
                <w14:textFill>
                  <w14:solidFill>
                    <w14:schemeClr w14:val="tx1"/>
                  </w14:solidFill>
                </w14:textFill>
              </w:rPr>
              <w:t>（4分，</w:t>
            </w:r>
            <w:r>
              <w:rPr>
                <w:rFonts w:hint="eastAsia" w:ascii="宋体" w:hAnsi="宋体" w:cs="宋体"/>
                <w:color w:val="000000" w:themeColor="text1"/>
                <w:kern w:val="0"/>
                <w:sz w:val="18"/>
                <w:szCs w:val="18"/>
                <w14:textFill>
                  <w14:solidFill>
                    <w14:schemeClr w14:val="tx1"/>
                  </w14:solidFill>
                </w14:textFill>
              </w:rPr>
              <w:t>配发</w:t>
            </w:r>
            <w:r>
              <w:rPr>
                <w:rFonts w:hint="eastAsia" w:ascii="宋体" w:hAnsi="宋体" w:cs="宋体"/>
                <w:color w:val="000000" w:themeColor="text1"/>
                <w:kern w:val="0"/>
                <w:sz w:val="18"/>
                <w:szCs w:val="18"/>
                <w:shd w:val="clear" w:color="auto" w:fill="FFFFFF"/>
                <w14:textFill>
                  <w14:solidFill>
                    <w14:schemeClr w14:val="tx1"/>
                  </w14:solidFill>
                </w14:textFill>
              </w:rPr>
              <w:t>率每下降10%扣1分，扣完为止；防护用品不符合防治职业病要求或未提供防护用品，扣4分）。</w:t>
            </w:r>
          </w:p>
        </w:tc>
        <w:tc>
          <w:tcPr>
            <w:tcW w:w="955" w:type="dxa"/>
            <w:vAlign w:val="center"/>
          </w:tcPr>
          <w:p w14:paraId="4BFBE864">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80" w:type="dxa"/>
          </w:tcPr>
          <w:p w14:paraId="6721159E">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F0A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continue"/>
            <w:vAlign w:val="center"/>
          </w:tcPr>
          <w:p w14:paraId="05E52F6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296DB5E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23106618">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2.督促、指导劳动者正确佩戴和使用，正确佩戴率达100%（4分，正确佩戴率每下降10%扣1分，扣完为止；未督促、指导劳动者正确佩戴和使用不得分）。</w:t>
            </w:r>
          </w:p>
        </w:tc>
        <w:tc>
          <w:tcPr>
            <w:tcW w:w="955" w:type="dxa"/>
            <w:vAlign w:val="center"/>
          </w:tcPr>
          <w:p w14:paraId="7F84C86D">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80" w:type="dxa"/>
          </w:tcPr>
          <w:p w14:paraId="765E4DD0">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2A85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restart"/>
            <w:vAlign w:val="center"/>
          </w:tcPr>
          <w:p w14:paraId="7F475B71">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七、应急救援</w:t>
            </w:r>
          </w:p>
        </w:tc>
        <w:tc>
          <w:tcPr>
            <w:tcW w:w="638" w:type="dxa"/>
            <w:vMerge w:val="restart"/>
            <w:vAlign w:val="center"/>
          </w:tcPr>
          <w:p w14:paraId="24031B3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341" w:type="dxa"/>
          </w:tcPr>
          <w:p w14:paraId="1468A4F5">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建立健全急性职业病危害事故应急救援预案，预案内容全面，符合企业自身特点，具有可操作性，并定期开展专项演练（2分，预案内容不全面扣1分，预案操作性有限扣1分，有预案未定期演练扣1分，未建立预案或预案不可操作不得分，扣完为止）。</w:t>
            </w:r>
          </w:p>
        </w:tc>
        <w:tc>
          <w:tcPr>
            <w:tcW w:w="955" w:type="dxa"/>
            <w:vAlign w:val="center"/>
          </w:tcPr>
          <w:p w14:paraId="36EEF3C8">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564B96E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6E2F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continue"/>
            <w:vAlign w:val="center"/>
          </w:tcPr>
          <w:p w14:paraId="1A22DDF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6C91FF4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665AAF83">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在可能发生急性职业损伤的有毒、有害工作场所，应当设置报警装置，配置现场急救用品、冲洗设备、应急撤离通道和必要的泄险区。应急设施种类齐全，设置位置等符合要求，且定期进行维护（2分，设施不全扣1分，设施位置不符合要求扣1分，个别设施未定期维护或不能正常使用扣1分，未设置不得分，扣完为止）。</w:t>
            </w:r>
          </w:p>
        </w:tc>
        <w:tc>
          <w:tcPr>
            <w:tcW w:w="955" w:type="dxa"/>
            <w:vAlign w:val="center"/>
          </w:tcPr>
          <w:p w14:paraId="195342FE">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252375A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2799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restart"/>
            <w:vAlign w:val="center"/>
          </w:tcPr>
          <w:p w14:paraId="5503EB31">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八、职业病危害告知</w:t>
            </w:r>
          </w:p>
        </w:tc>
        <w:tc>
          <w:tcPr>
            <w:tcW w:w="638" w:type="dxa"/>
            <w:vMerge w:val="restart"/>
            <w:vAlign w:val="center"/>
          </w:tcPr>
          <w:p w14:paraId="33D0D160">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w:t>
            </w:r>
          </w:p>
        </w:tc>
        <w:tc>
          <w:tcPr>
            <w:tcW w:w="6341" w:type="dxa"/>
          </w:tcPr>
          <w:p w14:paraId="77B6548C">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r>
              <w:rPr>
                <w:rFonts w:hint="eastAsia" w:ascii="宋体" w:hAnsi="宋体" w:cs="宋体"/>
                <w:color w:val="000000" w:themeColor="text1"/>
                <w:kern w:val="0"/>
                <w:sz w:val="18"/>
                <w:szCs w:val="18"/>
                <w14:textFill>
                  <w14:solidFill>
                    <w14:schemeClr w14:val="tx1"/>
                  </w14:solidFill>
                </w14:textFill>
              </w:rPr>
              <w:t>合同告知：与劳动者订立或变更劳动合同时，将工作过程中可能产生的职业病危害及其后果、职业病防护措施等如实告知劳动者，告知率达100%（3分，告知率每下降10%扣0.3分，扣完为止；未规范告知扣2分；未如实告知或未告知扣3分）。</w:t>
            </w:r>
          </w:p>
        </w:tc>
        <w:tc>
          <w:tcPr>
            <w:tcW w:w="955" w:type="dxa"/>
            <w:vAlign w:val="center"/>
          </w:tcPr>
          <w:p w14:paraId="71108632">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3AC86D4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7F56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continue"/>
            <w:vAlign w:val="center"/>
          </w:tcPr>
          <w:p w14:paraId="37CC8C2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013B87DE">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1717F6BB">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shd w:val="clear" w:color="auto" w:fill="FFFFFF"/>
                <w14:textFill>
                  <w14:solidFill>
                    <w14:schemeClr w14:val="tx1"/>
                  </w14:solidFill>
                </w14:textFill>
              </w:rPr>
              <w:t>2.公告栏</w:t>
            </w:r>
            <w:r>
              <w:rPr>
                <w:rFonts w:hint="eastAsia" w:ascii="宋体" w:hAnsi="宋体" w:cs="宋体"/>
                <w:color w:val="000000" w:themeColor="text1"/>
                <w:sz w:val="18"/>
                <w:szCs w:val="18"/>
                <w14:textFill>
                  <w14:solidFill>
                    <w14:schemeClr w14:val="tx1"/>
                  </w14:solidFill>
                </w14:textFill>
              </w:rPr>
              <w:t>告知</w:t>
            </w:r>
            <w:r>
              <w:rPr>
                <w:rFonts w:hint="eastAsia" w:ascii="宋体" w:hAnsi="宋体" w:cs="宋体"/>
                <w:color w:val="000000" w:themeColor="text1"/>
                <w:kern w:val="0"/>
                <w:sz w:val="18"/>
                <w:szCs w:val="18"/>
                <w:shd w:val="clear" w:color="auto" w:fill="FFFFFF"/>
                <w14:textFill>
                  <w14:solidFill>
                    <w14:schemeClr w14:val="tx1"/>
                  </w14:solidFill>
                </w14:textFill>
              </w:rPr>
              <w:t>：在醒目位置设置</w:t>
            </w:r>
            <w:r>
              <w:rPr>
                <w:rFonts w:hint="eastAsia" w:ascii="宋体" w:hAnsi="宋体" w:cs="宋体"/>
                <w:color w:val="000000" w:themeColor="text1"/>
                <w:sz w:val="18"/>
                <w:szCs w:val="18"/>
                <w:lang w:val="zh-CN"/>
                <w14:textFill>
                  <w14:solidFill>
                    <w14:schemeClr w14:val="tx1"/>
                  </w14:solidFill>
                </w14:textFill>
              </w:rPr>
              <w:t>职业卫生</w:t>
            </w:r>
            <w:r>
              <w:rPr>
                <w:rFonts w:hint="eastAsia" w:ascii="宋体" w:hAnsi="宋体" w:cs="宋体"/>
                <w:color w:val="000000" w:themeColor="text1"/>
                <w:kern w:val="0"/>
                <w:sz w:val="18"/>
                <w:szCs w:val="18"/>
                <w:shd w:val="clear" w:color="auto" w:fill="FFFFFF"/>
                <w14:textFill>
                  <w14:solidFill>
                    <w14:schemeClr w14:val="tx1"/>
                  </w14:solidFill>
                </w14:textFill>
              </w:rPr>
              <w:t>公告栏，公布有关职业病防治的规章制度、操作规程、职业病危害事故应急救援措施和工作场所职业病危害因素检测结果（</w:t>
            </w:r>
            <w:r>
              <w:rPr>
                <w:rFonts w:hint="eastAsia" w:ascii="宋体" w:hAnsi="宋体" w:cs="宋体"/>
                <w:color w:val="000000" w:themeColor="text1"/>
                <w:kern w:val="0"/>
                <w:sz w:val="18"/>
                <w:szCs w:val="18"/>
                <w14:textFill>
                  <w14:solidFill>
                    <w14:schemeClr w14:val="tx1"/>
                  </w14:solidFill>
                </w14:textFill>
              </w:rPr>
              <w:t>3分，公告内容每缺一项扣1分，不规范扣0.5分，扣完为止；未如实告知或未告知扣3分）</w:t>
            </w:r>
            <w:r>
              <w:rPr>
                <w:rFonts w:hint="eastAsia" w:ascii="宋体" w:hAnsi="宋体" w:cs="宋体"/>
                <w:color w:val="000000" w:themeColor="text1"/>
                <w:sz w:val="18"/>
                <w:szCs w:val="18"/>
                <w14:textFill>
                  <w14:solidFill>
                    <w14:schemeClr w14:val="tx1"/>
                  </w14:solidFill>
                </w14:textFill>
              </w:rPr>
              <w:t>。</w:t>
            </w:r>
          </w:p>
        </w:tc>
        <w:tc>
          <w:tcPr>
            <w:tcW w:w="955" w:type="dxa"/>
            <w:vAlign w:val="center"/>
          </w:tcPr>
          <w:p w14:paraId="5B4065D4">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6846D0E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447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300" w:type="dxa"/>
            <w:vMerge w:val="continue"/>
            <w:vAlign w:val="center"/>
          </w:tcPr>
          <w:p w14:paraId="40FC562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8" w:type="dxa"/>
            <w:vMerge w:val="continue"/>
            <w:vAlign w:val="center"/>
          </w:tcPr>
          <w:p w14:paraId="62E0406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7DFD73AA">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3.告知卡告知：</w:t>
            </w:r>
            <w:r>
              <w:rPr>
                <w:rFonts w:hint="eastAsia" w:ascii="宋体" w:hAnsi="宋体" w:cs="宋体"/>
                <w:color w:val="000000" w:themeColor="text1"/>
                <w:kern w:val="0"/>
                <w:sz w:val="18"/>
                <w:szCs w:val="18"/>
                <w14:textFill>
                  <w14:solidFill>
                    <w14:schemeClr w14:val="tx1"/>
                  </w14:solidFill>
                </w14:textFill>
              </w:rPr>
              <w:t>存在或者产生高毒物品的作业岗位，在醒目位置设置高毒物品告知卡，设置率达100%（3分，设置率每下降10%扣0.3分，扣完为止；未规范设置或未设置扣3分）。</w:t>
            </w:r>
          </w:p>
        </w:tc>
        <w:tc>
          <w:tcPr>
            <w:tcW w:w="955" w:type="dxa"/>
            <w:vAlign w:val="center"/>
          </w:tcPr>
          <w:p w14:paraId="6650D28A">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667F75C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bl>
    <w:p w14:paraId="12E6D17B">
      <w:pPr>
        <w:pStyle w:val="60"/>
        <w:ind w:firstLine="420"/>
      </w:pPr>
    </w:p>
    <w:p w14:paraId="6C7ACB74">
      <w:pPr>
        <w:pStyle w:val="60"/>
        <w:ind w:firstLine="420"/>
      </w:pPr>
    </w:p>
    <w:p w14:paraId="16D3C1F3">
      <w:pPr>
        <w:pStyle w:val="60"/>
        <w:ind w:firstLine="420"/>
      </w:pPr>
    </w:p>
    <w:p w14:paraId="6661F567">
      <w:pPr>
        <w:pStyle w:val="60"/>
        <w:ind w:firstLine="420"/>
      </w:pPr>
    </w:p>
    <w:p w14:paraId="1F321BB3">
      <w:pPr>
        <w:spacing w:before="156" w:beforeLines="50" w:after="156" w:afterLines="50"/>
        <w:jc w:val="center"/>
        <w:outlineLvl w:val="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表C.1  小微企业职业健康帮扶效果评估考核表</w:t>
      </w:r>
      <w:r>
        <w:rPr>
          <w:rFonts w:hint="eastAsia" w:asciiTheme="minorEastAsia" w:hAnsiTheme="minorEastAsia" w:cstheme="minorEastAsia"/>
          <w:color w:val="000000" w:themeColor="text1"/>
          <w14:textFill>
            <w14:solidFill>
              <w14:schemeClr w14:val="tx1"/>
            </w14:solidFill>
          </w14:textFill>
        </w:rPr>
        <w:t>（续）</w:t>
      </w:r>
    </w:p>
    <w:tbl>
      <w:tblPr>
        <w:tblStyle w:val="30"/>
        <w:tblW w:w="99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638"/>
        <w:gridCol w:w="6341"/>
        <w:gridCol w:w="955"/>
        <w:gridCol w:w="680"/>
      </w:tblGrid>
      <w:tr w14:paraId="76EC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vMerge w:val="restart"/>
            <w:vAlign w:val="center"/>
          </w:tcPr>
          <w:p w14:paraId="456B36A7">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九、职业健康检查</w:t>
            </w:r>
          </w:p>
        </w:tc>
        <w:tc>
          <w:tcPr>
            <w:tcW w:w="638" w:type="dxa"/>
            <w:vMerge w:val="restart"/>
            <w:vAlign w:val="center"/>
          </w:tcPr>
          <w:p w14:paraId="5BC4609F">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18</w:t>
            </w:r>
          </w:p>
        </w:tc>
        <w:tc>
          <w:tcPr>
            <w:tcW w:w="6341" w:type="dxa"/>
          </w:tcPr>
          <w:p w14:paraId="520E77AE">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对从事接触职业病危害作业的职工进行上岗前（体检率100%）、在岗期间（体检率100%）、离岗时（体检率100%）职业健康检查（6分，各类体检率每下降10%扣0.5分，扣完为止；未进行任何一类职业健康检查，扣2分）。</w:t>
            </w:r>
          </w:p>
        </w:tc>
        <w:tc>
          <w:tcPr>
            <w:tcW w:w="955" w:type="dxa"/>
            <w:vAlign w:val="center"/>
          </w:tcPr>
          <w:p w14:paraId="2C624808">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680" w:type="dxa"/>
          </w:tcPr>
          <w:p w14:paraId="49C1A0E0">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CA6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1300" w:type="dxa"/>
            <w:vMerge w:val="continue"/>
          </w:tcPr>
          <w:p w14:paraId="70A84287">
            <w:pPr>
              <w:pStyle w:val="15"/>
              <w:spacing w:line="280" w:lineRule="exact"/>
              <w:rPr>
                <w:color w:val="000000" w:themeColor="text1"/>
                <w14:textFill>
                  <w14:solidFill>
                    <w14:schemeClr w14:val="tx1"/>
                  </w14:solidFill>
                </w14:textFill>
              </w:rPr>
            </w:pPr>
          </w:p>
        </w:tc>
        <w:tc>
          <w:tcPr>
            <w:tcW w:w="638" w:type="dxa"/>
            <w:vMerge w:val="continue"/>
          </w:tcPr>
          <w:p w14:paraId="4D8CF18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7322D479">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为劳动者建立职业健康监护档案，一人一档（2分，若违反此项，扣2分）。职业健康监护档案包括劳动者的职业史、职业病危害接触史、职业健康检查结果和职业病诊疗等有关个人健康资料（2分，职业健康监护档案资料每缺一项，扣0.5分，扣完为止）。</w:t>
            </w:r>
          </w:p>
        </w:tc>
        <w:tc>
          <w:tcPr>
            <w:tcW w:w="955" w:type="dxa"/>
            <w:vAlign w:val="center"/>
          </w:tcPr>
          <w:p w14:paraId="46549A4B">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80" w:type="dxa"/>
          </w:tcPr>
          <w:p w14:paraId="436F9B99">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33A7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300" w:type="dxa"/>
            <w:vMerge w:val="continue"/>
          </w:tcPr>
          <w:p w14:paraId="3AE50BA6">
            <w:pPr>
              <w:pStyle w:val="15"/>
              <w:spacing w:line="280" w:lineRule="exact"/>
              <w:rPr>
                <w:color w:val="000000" w:themeColor="text1"/>
                <w14:textFill>
                  <w14:solidFill>
                    <w14:schemeClr w14:val="tx1"/>
                  </w14:solidFill>
                </w14:textFill>
              </w:rPr>
            </w:pPr>
          </w:p>
        </w:tc>
        <w:tc>
          <w:tcPr>
            <w:tcW w:w="638" w:type="dxa"/>
            <w:vMerge w:val="continue"/>
          </w:tcPr>
          <w:p w14:paraId="3514E193">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74C58029">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3.对遭受或者可能遭受急性职业病危害的劳动者，应当及时组织救治、进行职业健康检查和医学观察，所需费用由用人单位承担（2分，未进行不得分）。</w:t>
            </w:r>
          </w:p>
        </w:tc>
        <w:tc>
          <w:tcPr>
            <w:tcW w:w="955" w:type="dxa"/>
            <w:vAlign w:val="center"/>
          </w:tcPr>
          <w:p w14:paraId="0B77F2EB">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6C59805B">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25D6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00" w:type="dxa"/>
            <w:vMerge w:val="continue"/>
          </w:tcPr>
          <w:p w14:paraId="52C299B6">
            <w:pPr>
              <w:pStyle w:val="15"/>
              <w:spacing w:line="280" w:lineRule="exact"/>
              <w:rPr>
                <w:color w:val="000000" w:themeColor="text1"/>
                <w14:textFill>
                  <w14:solidFill>
                    <w14:schemeClr w14:val="tx1"/>
                  </w14:solidFill>
                </w14:textFill>
              </w:rPr>
            </w:pPr>
          </w:p>
        </w:tc>
        <w:tc>
          <w:tcPr>
            <w:tcW w:w="638" w:type="dxa"/>
            <w:vMerge w:val="continue"/>
          </w:tcPr>
          <w:p w14:paraId="2AD3BEFD">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473B56E2">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4.对需要复查的劳动者，按照职业健康检查机构要求的时间安排复查和医学观察（3分，未按要求组织复查不得分）。</w:t>
            </w:r>
          </w:p>
        </w:tc>
        <w:tc>
          <w:tcPr>
            <w:tcW w:w="955" w:type="dxa"/>
            <w:vAlign w:val="center"/>
          </w:tcPr>
          <w:p w14:paraId="21BBCFE5">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5842266F">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676B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00" w:type="dxa"/>
            <w:vMerge w:val="continue"/>
          </w:tcPr>
          <w:p w14:paraId="4CEBA599">
            <w:pPr>
              <w:pStyle w:val="15"/>
              <w:spacing w:line="280" w:lineRule="exact"/>
              <w:rPr>
                <w:color w:val="000000" w:themeColor="text1"/>
                <w14:textFill>
                  <w14:solidFill>
                    <w14:schemeClr w14:val="tx1"/>
                  </w14:solidFill>
                </w14:textFill>
              </w:rPr>
            </w:pPr>
          </w:p>
        </w:tc>
        <w:tc>
          <w:tcPr>
            <w:tcW w:w="638" w:type="dxa"/>
            <w:vMerge w:val="continue"/>
          </w:tcPr>
          <w:p w14:paraId="63A1C4E2">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032D6556">
            <w:pPr>
              <w:widowControl/>
              <w:snapToGrid w:val="0"/>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5.职业健康检查结果书面告知：及时将职业健康检查结果书面告知劳动者，</w:t>
            </w:r>
            <w:r>
              <w:rPr>
                <w:rFonts w:hint="eastAsia" w:ascii="宋体" w:hAnsi="宋体" w:cs="宋体"/>
                <w:color w:val="000000" w:themeColor="text1"/>
                <w:sz w:val="18"/>
                <w:szCs w:val="18"/>
                <w14:textFill>
                  <w14:solidFill>
                    <w14:schemeClr w14:val="tx1"/>
                  </w14:solidFill>
                </w14:textFill>
              </w:rPr>
              <w:t>告知率达100%</w:t>
            </w:r>
            <w:r>
              <w:rPr>
                <w:rFonts w:hint="eastAsia" w:ascii="宋体" w:hAnsi="宋体" w:cs="宋体"/>
                <w:color w:val="000000" w:themeColor="text1"/>
                <w:kern w:val="0"/>
                <w:sz w:val="18"/>
                <w:szCs w:val="18"/>
                <w14:textFill>
                  <w14:solidFill>
                    <w14:schemeClr w14:val="tx1"/>
                  </w14:solidFill>
                </w14:textFill>
              </w:rPr>
              <w:t>（3分，告知率每下降10%扣0.3分，扣完为止；未书面告知或未告知扣3分）</w:t>
            </w:r>
            <w:r>
              <w:rPr>
                <w:rFonts w:hint="eastAsia" w:ascii="宋体" w:hAnsi="宋体" w:cs="宋体"/>
                <w:color w:val="000000" w:themeColor="text1"/>
                <w:sz w:val="18"/>
                <w:szCs w:val="18"/>
                <w14:textFill>
                  <w14:solidFill>
                    <w14:schemeClr w14:val="tx1"/>
                  </w14:solidFill>
                </w14:textFill>
              </w:rPr>
              <w:t>。</w:t>
            </w:r>
          </w:p>
        </w:tc>
        <w:tc>
          <w:tcPr>
            <w:tcW w:w="955" w:type="dxa"/>
            <w:vAlign w:val="center"/>
          </w:tcPr>
          <w:p w14:paraId="3ADB45BF">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80" w:type="dxa"/>
          </w:tcPr>
          <w:p w14:paraId="26B2A3A1">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732E2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restart"/>
            <w:vAlign w:val="center"/>
          </w:tcPr>
          <w:p w14:paraId="72D757AF">
            <w:pPr>
              <w:pStyle w:val="15"/>
              <w:spacing w:line="280" w:lineRule="exact"/>
              <w:jc w:val="center"/>
              <w:rPr>
                <w:color w:val="000000" w:themeColor="text1"/>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十、人员安排</w:t>
            </w:r>
          </w:p>
        </w:tc>
        <w:tc>
          <w:tcPr>
            <w:tcW w:w="638" w:type="dxa"/>
            <w:vMerge w:val="restart"/>
            <w:vAlign w:val="center"/>
          </w:tcPr>
          <w:p w14:paraId="33866133">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6341" w:type="dxa"/>
          </w:tcPr>
          <w:p w14:paraId="2F1016E1">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1.不得安排未成年工从事接触职业病危害的作业（2分，若违反此项，扣2分）。</w:t>
            </w:r>
          </w:p>
        </w:tc>
        <w:tc>
          <w:tcPr>
            <w:tcW w:w="955" w:type="dxa"/>
            <w:vAlign w:val="center"/>
          </w:tcPr>
          <w:p w14:paraId="6F9BF0F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709FED38">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4253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continue"/>
          </w:tcPr>
          <w:p w14:paraId="719D54AE">
            <w:pPr>
              <w:pStyle w:val="15"/>
              <w:spacing w:line="280" w:lineRule="exact"/>
              <w:rPr>
                <w:color w:val="000000" w:themeColor="text1"/>
                <w14:textFill>
                  <w14:solidFill>
                    <w14:schemeClr w14:val="tx1"/>
                  </w14:solidFill>
                </w14:textFill>
              </w:rPr>
            </w:pPr>
          </w:p>
        </w:tc>
        <w:tc>
          <w:tcPr>
            <w:tcW w:w="638" w:type="dxa"/>
            <w:vMerge w:val="continue"/>
          </w:tcPr>
          <w:p w14:paraId="70E717E6">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0A65A7C3">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2.不得安排有职业禁忌的劳动者从事其所禁忌的作业（2分，若违反此项，扣2分）。</w:t>
            </w:r>
          </w:p>
        </w:tc>
        <w:tc>
          <w:tcPr>
            <w:tcW w:w="955" w:type="dxa"/>
            <w:vAlign w:val="center"/>
          </w:tcPr>
          <w:p w14:paraId="06A672DE">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4B334857">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BC7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continue"/>
          </w:tcPr>
          <w:p w14:paraId="3DA39A79">
            <w:pPr>
              <w:pStyle w:val="15"/>
              <w:spacing w:line="280" w:lineRule="exact"/>
              <w:rPr>
                <w:color w:val="000000" w:themeColor="text1"/>
                <w14:textFill>
                  <w14:solidFill>
                    <w14:schemeClr w14:val="tx1"/>
                  </w14:solidFill>
                </w14:textFill>
              </w:rPr>
            </w:pPr>
          </w:p>
        </w:tc>
        <w:tc>
          <w:tcPr>
            <w:tcW w:w="638" w:type="dxa"/>
            <w:vMerge w:val="continue"/>
          </w:tcPr>
          <w:p w14:paraId="00139243">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6707736B">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3.不得安排孕期、哺乳期女职工从事对本人和胎儿、婴儿有危害的作业（2分，若违反此项，扣2分）。</w:t>
            </w:r>
          </w:p>
        </w:tc>
        <w:tc>
          <w:tcPr>
            <w:tcW w:w="955" w:type="dxa"/>
            <w:vAlign w:val="center"/>
          </w:tcPr>
          <w:p w14:paraId="461CB94C">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277A54B8">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10B9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continue"/>
          </w:tcPr>
          <w:p w14:paraId="685ECBA3">
            <w:pPr>
              <w:pStyle w:val="15"/>
              <w:spacing w:line="280" w:lineRule="exact"/>
              <w:rPr>
                <w:color w:val="000000" w:themeColor="text1"/>
                <w14:textFill>
                  <w14:solidFill>
                    <w14:schemeClr w14:val="tx1"/>
                  </w14:solidFill>
                </w14:textFill>
              </w:rPr>
            </w:pPr>
          </w:p>
        </w:tc>
        <w:tc>
          <w:tcPr>
            <w:tcW w:w="638" w:type="dxa"/>
            <w:vMerge w:val="continue"/>
          </w:tcPr>
          <w:p w14:paraId="379225F0">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7CE1C5F4">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4.及时安排疑似职业病病人诊断、安排职业病病人进行治疗、康复和定期职业健康检查（2分，若违反此项，扣2分；用人单位无疑似职业病、职业病病人此项得满分）</w:t>
            </w:r>
          </w:p>
        </w:tc>
        <w:tc>
          <w:tcPr>
            <w:tcW w:w="955" w:type="dxa"/>
            <w:vAlign w:val="center"/>
          </w:tcPr>
          <w:p w14:paraId="3C0FE636">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6617656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0AE7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restart"/>
            <w:vAlign w:val="center"/>
          </w:tcPr>
          <w:p w14:paraId="69ADD165">
            <w:pPr>
              <w:pStyle w:val="15"/>
              <w:spacing w:line="280" w:lineRule="exact"/>
              <w:rPr>
                <w:color w:val="000000" w:themeColor="text1"/>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十一、外委与外包</w:t>
            </w:r>
          </w:p>
        </w:tc>
        <w:tc>
          <w:tcPr>
            <w:tcW w:w="638" w:type="dxa"/>
            <w:vMerge w:val="restart"/>
            <w:vAlign w:val="center"/>
          </w:tcPr>
          <w:p w14:paraId="7843F93C">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341" w:type="dxa"/>
            <w:vAlign w:val="center"/>
          </w:tcPr>
          <w:p w14:paraId="392ACCD9">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1.不得将产生职业病危害的作业转移给不具备职业病防护条件的单位和个人（2分，若违反此项，扣2分）。</w:t>
            </w:r>
          </w:p>
        </w:tc>
        <w:tc>
          <w:tcPr>
            <w:tcW w:w="955" w:type="dxa"/>
            <w:vAlign w:val="center"/>
          </w:tcPr>
          <w:p w14:paraId="71FC4592">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47F92EE6">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3EF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continue"/>
            <w:vAlign w:val="center"/>
          </w:tcPr>
          <w:p w14:paraId="12A8234A">
            <w:pPr>
              <w:pStyle w:val="15"/>
              <w:spacing w:line="280" w:lineRule="exact"/>
              <w:rPr>
                <w:color w:val="000000" w:themeColor="text1"/>
                <w14:textFill>
                  <w14:solidFill>
                    <w14:schemeClr w14:val="tx1"/>
                  </w14:solidFill>
                </w14:textFill>
              </w:rPr>
            </w:pPr>
          </w:p>
        </w:tc>
        <w:tc>
          <w:tcPr>
            <w:tcW w:w="638" w:type="dxa"/>
            <w:vMerge w:val="continue"/>
            <w:vAlign w:val="center"/>
          </w:tcPr>
          <w:p w14:paraId="47EB7943">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vAlign w:val="center"/>
          </w:tcPr>
          <w:p w14:paraId="50D3FB89">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2.不具备职业病防护条件的单位和个人不得接受产生职业病危害的作业（2分，若违反此项，扣2分）。</w:t>
            </w:r>
          </w:p>
        </w:tc>
        <w:tc>
          <w:tcPr>
            <w:tcW w:w="955" w:type="dxa"/>
            <w:vAlign w:val="center"/>
          </w:tcPr>
          <w:p w14:paraId="3BCDDADE">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80" w:type="dxa"/>
          </w:tcPr>
          <w:p w14:paraId="48DFC0C5">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6606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restart"/>
            <w:vAlign w:val="center"/>
          </w:tcPr>
          <w:p w14:paraId="23856ADF">
            <w:pPr>
              <w:pStyle w:val="15"/>
              <w:spacing w:line="280" w:lineRule="exact"/>
              <w:rPr>
                <w:color w:val="000000" w:themeColor="text1"/>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十二、职业病防治改善情况（附加分）</w:t>
            </w:r>
          </w:p>
        </w:tc>
        <w:tc>
          <w:tcPr>
            <w:tcW w:w="638" w:type="dxa"/>
            <w:vMerge w:val="restart"/>
            <w:vAlign w:val="center"/>
          </w:tcPr>
          <w:p w14:paraId="30085FDD">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6341" w:type="dxa"/>
          </w:tcPr>
          <w:p w14:paraId="2D832811">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1.开展帮扶活动以来职业病防治工作改善情况，如经费投入、防护设施完善、职业卫生管理等（每有一项改善增加1分，最高不超过5分）。</w:t>
            </w:r>
          </w:p>
        </w:tc>
        <w:tc>
          <w:tcPr>
            <w:tcW w:w="955" w:type="dxa"/>
            <w:vAlign w:val="center"/>
          </w:tcPr>
          <w:p w14:paraId="59A604B9">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80" w:type="dxa"/>
          </w:tcPr>
          <w:p w14:paraId="2F2E479A">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5BEA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00" w:type="dxa"/>
            <w:vMerge w:val="continue"/>
          </w:tcPr>
          <w:p w14:paraId="4B122E2C">
            <w:pPr>
              <w:pStyle w:val="15"/>
              <w:spacing w:line="280" w:lineRule="exact"/>
              <w:rPr>
                <w:color w:val="000000" w:themeColor="text1"/>
                <w14:textFill>
                  <w14:solidFill>
                    <w14:schemeClr w14:val="tx1"/>
                  </w14:solidFill>
                </w14:textFill>
              </w:rPr>
            </w:pPr>
          </w:p>
        </w:tc>
        <w:tc>
          <w:tcPr>
            <w:tcW w:w="638" w:type="dxa"/>
            <w:vMerge w:val="continue"/>
          </w:tcPr>
          <w:p w14:paraId="10515854">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c>
          <w:tcPr>
            <w:tcW w:w="6341" w:type="dxa"/>
          </w:tcPr>
          <w:p w14:paraId="34DB5ACE">
            <w:pPr>
              <w:snapToGrid w:val="0"/>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2.采用新技术、新材料、新工艺，提高设备机械化、自动化、水平、淘汰落后工艺、设备和材料（每有一项改善增加1分，最高不超过5分）。</w:t>
            </w:r>
          </w:p>
        </w:tc>
        <w:tc>
          <w:tcPr>
            <w:tcW w:w="955" w:type="dxa"/>
            <w:vAlign w:val="center"/>
          </w:tcPr>
          <w:p w14:paraId="229B7A9E">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80" w:type="dxa"/>
          </w:tcPr>
          <w:p w14:paraId="6385E68C">
            <w:pPr>
              <w:widowControl/>
              <w:spacing w:line="280" w:lineRule="exact"/>
              <w:jc w:val="center"/>
              <w:rPr>
                <w:rFonts w:ascii="宋体" w:hAnsi="宋体" w:cs="宋体"/>
                <w:color w:val="000000" w:themeColor="text1"/>
                <w:kern w:val="0"/>
                <w:sz w:val="18"/>
                <w:szCs w:val="18"/>
                <w14:textFill>
                  <w14:solidFill>
                    <w14:schemeClr w14:val="tx1"/>
                  </w14:solidFill>
                </w14:textFill>
              </w:rPr>
            </w:pPr>
          </w:p>
        </w:tc>
      </w:tr>
      <w:tr w14:paraId="4155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914" w:type="dxa"/>
            <w:gridSpan w:val="5"/>
            <w:vAlign w:val="center"/>
          </w:tcPr>
          <w:p w14:paraId="4E92BF0A">
            <w:pPr>
              <w:pStyle w:val="15"/>
              <w:widowControl/>
              <w:snapToGrid w:val="0"/>
              <w:spacing w:line="280" w:lineRule="exact"/>
              <w:jc w:val="left"/>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填表说明：</w:t>
            </w:r>
          </w:p>
          <w:p w14:paraId="239281EC">
            <w:pPr>
              <w:pStyle w:val="15"/>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一、赋分说明：《小微企业职业健康帮扶效果评估考核表》评估项目共计</w:t>
            </w:r>
            <w:r>
              <w:rPr>
                <w:rFonts w:asciiTheme="minorEastAsia" w:hAnsiTheme="minorEastAsia"/>
                <w:color w:val="000000" w:themeColor="text1"/>
                <w:sz w:val="18"/>
                <w:szCs w:val="18"/>
                <w14:textFill>
                  <w14:solidFill>
                    <w14:schemeClr w14:val="tx1"/>
                  </w14:solidFill>
                </w14:textFill>
              </w:rPr>
              <w:t>1</w:t>
            </w:r>
            <w:r>
              <w:rPr>
                <w:rFonts w:hint="eastAsia" w:asciiTheme="minorEastAsia" w:hAnsiTheme="minorEastAsia"/>
                <w:color w:val="000000" w:themeColor="text1"/>
                <w:sz w:val="18"/>
                <w:szCs w:val="18"/>
                <w14:textFill>
                  <w14:solidFill>
                    <w14:schemeClr w14:val="tx1"/>
                  </w14:solidFill>
                </w14:textFill>
              </w:rPr>
              <w:t>2项，总分110分，最终得分为12项累计分值。</w:t>
            </w:r>
            <w:r>
              <w:rPr>
                <w:rFonts w:asciiTheme="minorEastAsia" w:hAnsiTheme="minorEastAsia"/>
                <w:color w:val="000000" w:themeColor="text1"/>
                <w:sz w:val="18"/>
                <w:szCs w:val="18"/>
                <w14:textFill>
                  <w14:solidFill>
                    <w14:schemeClr w14:val="tx1"/>
                  </w14:solidFill>
                </w14:textFill>
              </w:rPr>
              <w:t xml:space="preserve">    </w:t>
            </w:r>
          </w:p>
          <w:p w14:paraId="6D6DA85E">
            <w:pPr>
              <w:pStyle w:val="15"/>
              <w:widowControl/>
              <w:spacing w:line="280" w:lineRule="exact"/>
              <w:rPr>
                <w:rFonts w:ascii="宋体" w:hAnsi="宋体" w:cs="宋体"/>
                <w:color w:val="000000" w:themeColor="text1"/>
                <w:kern w:val="0"/>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二、赋分应用：按照最终所得分值，对小微型企业职业健康帮扶结果进行评估。</w:t>
            </w:r>
          </w:p>
        </w:tc>
      </w:tr>
      <w:tr w14:paraId="1CA7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914" w:type="dxa"/>
            <w:gridSpan w:val="5"/>
            <w:vAlign w:val="center"/>
          </w:tcPr>
          <w:p w14:paraId="069B96D1">
            <w:pPr>
              <w:widowControl/>
              <w:spacing w:line="280" w:lineRule="exact"/>
              <w:rPr>
                <w:rFonts w:ascii="宋体" w:hAnsi="宋体" w:cs="宋体"/>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 xml:space="preserve">最终得分： </w:t>
            </w:r>
            <w:r>
              <w:rPr>
                <w:rFonts w:ascii="宋体" w:hAnsi="宋体" w:cs="宋体"/>
                <w:b/>
                <w:bCs/>
                <w:color w:val="000000" w:themeColor="text1"/>
                <w:kern w:val="0"/>
                <w:sz w:val="18"/>
                <w:szCs w:val="18"/>
                <w14:textFill>
                  <w14:solidFill>
                    <w14:schemeClr w14:val="tx1"/>
                  </w14:solidFill>
                </w14:textFill>
              </w:rPr>
              <w:t xml:space="preserve">     </w:t>
            </w:r>
          </w:p>
        </w:tc>
      </w:tr>
    </w:tbl>
    <w:p w14:paraId="44828220">
      <w:pPr>
        <w:pStyle w:val="60"/>
        <w:ind w:firstLine="420"/>
      </w:pPr>
    </w:p>
    <w:p w14:paraId="6D48BE26">
      <w:pPr>
        <w:pStyle w:val="60"/>
        <w:ind w:firstLine="420"/>
      </w:pPr>
    </w:p>
    <w:p w14:paraId="47AEC56E">
      <w:pPr>
        <w:pStyle w:val="60"/>
        <w:ind w:firstLine="420"/>
      </w:pPr>
    </w:p>
    <w:p w14:paraId="6EA3CF35">
      <w:pPr>
        <w:pStyle w:val="60"/>
        <w:ind w:firstLine="420"/>
      </w:pPr>
    </w:p>
    <w:p w14:paraId="53B7EE04">
      <w:pPr>
        <w:pStyle w:val="60"/>
        <w:ind w:firstLine="420"/>
      </w:pPr>
    </w:p>
    <w:p w14:paraId="2BB29DB2">
      <w:pPr>
        <w:pStyle w:val="60"/>
        <w:ind w:firstLine="420"/>
      </w:pPr>
    </w:p>
    <w:bookmarkEnd w:id="413"/>
    <w:p w14:paraId="4CCFD5E2">
      <w:pPr>
        <w:pStyle w:val="67"/>
        <w:spacing w:after="156"/>
      </w:pPr>
      <w:bookmarkStart w:id="442" w:name="_Toc163652538"/>
      <w:bookmarkStart w:id="443" w:name="_Toc163652597"/>
      <w:bookmarkStart w:id="444" w:name="_Toc163652478"/>
      <w:bookmarkStart w:id="445" w:name="_Toc163652234"/>
      <w:bookmarkStart w:id="446" w:name="_Toc163652637"/>
      <w:bookmarkStart w:id="447" w:name="_Toc163651724"/>
      <w:bookmarkStart w:id="448" w:name="_Toc163652053"/>
      <w:bookmarkStart w:id="449" w:name="_Toc163652164"/>
      <w:bookmarkStart w:id="450" w:name="BookMark6"/>
      <w:r>
        <w:rPr>
          <w:rFonts w:hint="eastAsia"/>
          <w:spacing w:val="105"/>
        </w:rPr>
        <w:t>参考文</w:t>
      </w:r>
      <w:r>
        <w:rPr>
          <w:rFonts w:hint="eastAsia"/>
        </w:rPr>
        <w:t>献</w:t>
      </w:r>
      <w:bookmarkEnd w:id="442"/>
      <w:bookmarkEnd w:id="443"/>
      <w:bookmarkEnd w:id="444"/>
      <w:bookmarkEnd w:id="445"/>
      <w:bookmarkEnd w:id="446"/>
      <w:bookmarkEnd w:id="447"/>
      <w:bookmarkEnd w:id="448"/>
      <w:bookmarkEnd w:id="449"/>
    </w:p>
    <w:p w14:paraId="193A750C">
      <w:pPr>
        <w:pStyle w:val="60"/>
        <w:numPr>
          <w:ilvl w:val="0"/>
          <w:numId w:val="32"/>
        </w:numPr>
        <w:ind w:left="442" w:hanging="442" w:firstLineChars="0"/>
        <w:rPr>
          <w:rFonts w:hAnsi="宋体" w:cs="宋体"/>
        </w:rPr>
      </w:pPr>
      <w:r>
        <w:rPr>
          <w:rFonts w:hint="eastAsia" w:hAnsi="宋体" w:cs="宋体"/>
        </w:rPr>
        <w:t>中华人民共和国职业病防治法 中华人民共和国主席令第24号，</w:t>
      </w:r>
      <w:r>
        <w:fldChar w:fldCharType="begin"/>
      </w:r>
      <w:r>
        <w:instrText xml:space="preserve"> HYPERLINK "https://baike.baidu.com/item/%E5%85%A8%E5%9B%BD%E4%BA%BA%E6%B0%91%E4%BB%A3%E8%A1%A8%E5%A4%A7%E4%BC%9A/117422?fromModule=lemma_inlink" \t "_blank" </w:instrText>
      </w:r>
      <w:r>
        <w:fldChar w:fldCharType="separate"/>
      </w:r>
      <w:r>
        <w:rPr>
          <w:rFonts w:hint="eastAsia" w:hAnsi="宋体" w:cs="宋体"/>
        </w:rPr>
        <w:t>全国人民代表大会</w:t>
      </w:r>
      <w:r>
        <w:rPr>
          <w:rFonts w:hint="eastAsia" w:hAnsi="宋体" w:cs="宋体"/>
        </w:rPr>
        <w:fldChar w:fldCharType="end"/>
      </w:r>
      <w:r>
        <w:rPr>
          <w:rFonts w:hint="eastAsia" w:hAnsi="宋体" w:cs="宋体"/>
        </w:rPr>
        <w:t>常务</w:t>
      </w:r>
      <w:r>
        <w:rPr>
          <w:rFonts w:hint="eastAsia" w:hAnsi="宋体" w:cs="宋体"/>
          <w:color w:val="333333"/>
          <w:shd w:val="clear" w:color="auto" w:fill="FFFFFF"/>
        </w:rPr>
        <w:t>委员会，</w:t>
      </w:r>
      <w:r>
        <w:rPr>
          <w:rFonts w:hint="eastAsia" w:hAnsi="宋体" w:cs="宋体"/>
        </w:rPr>
        <w:t>2018年12月29日修正</w:t>
      </w:r>
    </w:p>
    <w:p w14:paraId="25647655">
      <w:pPr>
        <w:pStyle w:val="60"/>
        <w:numPr>
          <w:ilvl w:val="0"/>
          <w:numId w:val="32"/>
        </w:numPr>
        <w:ind w:left="442" w:hanging="442" w:firstLineChars="0"/>
        <w:rPr>
          <w:rFonts w:hAnsi="宋体" w:cs="宋体"/>
        </w:rPr>
      </w:pPr>
      <w:r>
        <w:rPr>
          <w:rFonts w:hint="eastAsia" w:hAnsi="宋体" w:cs="宋体"/>
        </w:rPr>
        <w:t>国家统计局关于印发《统计上大中小微型企业划分办法（2017）》的通知（国统字〔2017〕213号），</w:t>
      </w:r>
      <w:r>
        <w:rPr>
          <w:rFonts w:hint="eastAsia" w:hAnsi="宋体" w:cs="宋体"/>
          <w:color w:val="000000"/>
          <w:shd w:val="clear" w:color="auto" w:fill="FFFFFF"/>
        </w:rPr>
        <w:t>国家统计局，2017年12月28日</w:t>
      </w:r>
    </w:p>
    <w:p w14:paraId="0AD1CECA">
      <w:pPr>
        <w:pStyle w:val="60"/>
        <w:numPr>
          <w:ilvl w:val="0"/>
          <w:numId w:val="32"/>
        </w:numPr>
        <w:ind w:left="442" w:hanging="442" w:firstLineChars="0"/>
        <w:rPr>
          <w:rFonts w:hAnsi="宋体" w:cs="宋体"/>
        </w:rPr>
      </w:pPr>
      <w:r>
        <w:rPr>
          <w:rFonts w:hint="eastAsia" w:hAnsi="宋体" w:cs="宋体"/>
        </w:rPr>
        <w:t>工作场所职业卫生管理规定 中华人民共和国国家卫生健康委员会令第5号，</w:t>
      </w:r>
      <w:r>
        <w:rPr>
          <w:rFonts w:hint="eastAsia" w:hAnsi="宋体" w:cs="宋体"/>
          <w:color w:val="333333"/>
          <w:shd w:val="clear" w:color="auto" w:fill="FFFFFF"/>
        </w:rPr>
        <w:t>2020年12月31日</w:t>
      </w:r>
    </w:p>
    <w:p w14:paraId="30D7943B">
      <w:pPr>
        <w:pStyle w:val="60"/>
        <w:numPr>
          <w:ilvl w:val="0"/>
          <w:numId w:val="32"/>
        </w:numPr>
        <w:ind w:left="442" w:hanging="442" w:firstLineChars="0"/>
        <w:rPr>
          <w:rFonts w:hAnsi="宋体" w:cs="宋体"/>
        </w:rPr>
      </w:pPr>
      <w:r>
        <w:rPr>
          <w:rFonts w:hint="eastAsia" w:hAnsi="宋体" w:cs="宋体"/>
        </w:rPr>
        <w:t>国家卫生健康委办公厅关于公布《建设项目职业病危害风险分类管理目录》的通知（国卫办职健发〔2021〕5号），国卫办职健发〔2021〕5号，2021年3月12日</w:t>
      </w:r>
    </w:p>
    <w:p w14:paraId="07F36FAD">
      <w:pPr>
        <w:pStyle w:val="60"/>
        <w:numPr>
          <w:ilvl w:val="0"/>
          <w:numId w:val="32"/>
        </w:numPr>
        <w:ind w:left="442" w:hanging="442" w:firstLineChars="0"/>
        <w:rPr>
          <w:rFonts w:hAnsi="宋体" w:cs="宋体"/>
        </w:rPr>
      </w:pPr>
      <w:r>
        <w:rPr>
          <w:rFonts w:hint="eastAsia" w:hAnsi="宋体" w:cs="宋体"/>
        </w:rPr>
        <w:t>国家卫生健康委关于印发《全国职业病危害现状统计调查制度》的函（国卫职健函〔2020〕21号），国家卫生健康委，2020年1月25日</w:t>
      </w:r>
    </w:p>
    <w:p w14:paraId="267980BD">
      <w:pPr>
        <w:pStyle w:val="60"/>
        <w:numPr>
          <w:ilvl w:val="0"/>
          <w:numId w:val="32"/>
        </w:numPr>
        <w:ind w:left="442" w:hanging="442" w:firstLineChars="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职业卫生技术服务机构管理办法 国家卫生健康委员会令第4号，2020年12月31日</w:t>
      </w:r>
    </w:p>
    <w:p w14:paraId="381AAF4A">
      <w:pPr>
        <w:pStyle w:val="60"/>
        <w:numPr>
          <w:ilvl w:val="0"/>
          <w:numId w:val="32"/>
        </w:numPr>
        <w:ind w:left="442" w:hanging="442" w:firstLineChars="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国家卫生和计划生育委员会.职业健康监护技术规范(GBZ 188-2014)[S].北京.中国标准出版社，2014</w:t>
      </w:r>
    </w:p>
    <w:p w14:paraId="6DEA9F30">
      <w:pPr>
        <w:pStyle w:val="60"/>
        <w:numPr>
          <w:ilvl w:val="0"/>
          <w:numId w:val="32"/>
        </w:numPr>
        <w:ind w:left="442" w:hanging="442" w:firstLineChars="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中华人民共和国卫生部.用人单位职业病防治指南(GBZ/T 225</w:t>
      </w:r>
      <w:r>
        <w:rPr>
          <w:rFonts w:hAnsi="宋体" w:cs="宋体"/>
          <w:color w:val="000000" w:themeColor="text1"/>
          <w14:textFill>
            <w14:solidFill>
              <w14:schemeClr w14:val="tx1"/>
            </w14:solidFill>
          </w14:textFill>
        </w:rPr>
        <w:t>-2010</w:t>
      </w:r>
      <w:r>
        <w:rPr>
          <w:rFonts w:hint="eastAsia" w:hAnsi="宋体" w:cs="宋体"/>
          <w:color w:val="000000" w:themeColor="text1"/>
          <w14:textFill>
            <w14:solidFill>
              <w14:schemeClr w14:val="tx1"/>
            </w14:solidFill>
          </w14:textFill>
        </w:rPr>
        <w:t>)[S].北京.中国标准出版社，2010</w:t>
      </w:r>
    </w:p>
    <w:p w14:paraId="66785036">
      <w:pPr>
        <w:pStyle w:val="234"/>
        <w:ind w:firstLine="0" w:firstLineChars="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w:t>
      </w:r>
    </w:p>
    <w:p w14:paraId="318441C4">
      <w:pPr>
        <w:pStyle w:val="60"/>
        <w:ind w:firstLine="420"/>
      </w:pPr>
    </w:p>
    <w:p w14:paraId="5B1FEB81">
      <w:pPr>
        <w:pStyle w:val="60"/>
        <w:ind w:firstLine="420"/>
      </w:pPr>
    </w:p>
    <w:p w14:paraId="34D8149C">
      <w:pPr>
        <w:pStyle w:val="60"/>
        <w:ind w:firstLine="420"/>
      </w:pPr>
    </w:p>
    <w:bookmarkEnd w:id="450"/>
    <w:p w14:paraId="3363C401">
      <w:pPr>
        <w:pStyle w:val="60"/>
        <w:ind w:firstLine="0" w:firstLineChars="0"/>
        <w:jc w:val="center"/>
      </w:pPr>
      <w:bookmarkStart w:id="451" w:name="BookMark8"/>
      <w:r>
        <w:drawing>
          <wp:inline distT="0" distB="0" distL="0" distR="0">
            <wp:extent cx="1485900" cy="317500"/>
            <wp:effectExtent l="0" t="0" r="0" b="6350"/>
            <wp:docPr id="170866216" name="图片 1"/>
            <wp:cNvGraphicFramePr/>
            <a:graphic xmlns:a="http://schemas.openxmlformats.org/drawingml/2006/main">
              <a:graphicData uri="http://schemas.openxmlformats.org/drawingml/2006/picture">
                <pic:pic xmlns:pic="http://schemas.openxmlformats.org/drawingml/2006/picture">
                  <pic:nvPicPr>
                    <pic:cNvPr id="170866216"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652E8">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CA3A7">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6EB4B">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11446">
    <w:pPr>
      <w:pStyle w:val="56"/>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E1B43">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8619F">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55E70">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5005">
    <w:pPr>
      <w:pStyle w:val="65"/>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3E9E3">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7C3719A"/>
    <w:multiLevelType w:val="multilevel"/>
    <w:tmpl w:val="37C3719A"/>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85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Iz4eAJoKagKtWl3cCEZ2uAQ3J/DsqVAA6i3UOKtVqTNzRicznlAlbgVzzxH1SU3azK1GK6xZfeRSaL3tuuFGVA==" w:salt="BgeM8LEtUO4v+Neh3j8cF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2NGU5YmZkZjcxZjkwZDVmODk3NjY3YmU5ZjI1MzEifQ=="/>
  </w:docVars>
  <w:rsids>
    <w:rsidRoot w:val="00793807"/>
    <w:rsid w:val="0000040A"/>
    <w:rsid w:val="00000A94"/>
    <w:rsid w:val="00001972"/>
    <w:rsid w:val="00001D9A"/>
    <w:rsid w:val="0000274B"/>
    <w:rsid w:val="00006D15"/>
    <w:rsid w:val="00007B3A"/>
    <w:rsid w:val="000107E0"/>
    <w:rsid w:val="00011FDE"/>
    <w:rsid w:val="00012FFD"/>
    <w:rsid w:val="00014162"/>
    <w:rsid w:val="00014340"/>
    <w:rsid w:val="000146EB"/>
    <w:rsid w:val="00016A9C"/>
    <w:rsid w:val="00022184"/>
    <w:rsid w:val="00022762"/>
    <w:rsid w:val="000238E0"/>
    <w:rsid w:val="000249DB"/>
    <w:rsid w:val="0002595E"/>
    <w:rsid w:val="000303C3"/>
    <w:rsid w:val="000331D3"/>
    <w:rsid w:val="000346A5"/>
    <w:rsid w:val="00035038"/>
    <w:rsid w:val="000359C3"/>
    <w:rsid w:val="00035A7D"/>
    <w:rsid w:val="000365ED"/>
    <w:rsid w:val="0004249A"/>
    <w:rsid w:val="00043282"/>
    <w:rsid w:val="00044286"/>
    <w:rsid w:val="00044F3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206"/>
    <w:rsid w:val="00067C48"/>
    <w:rsid w:val="00067F1E"/>
    <w:rsid w:val="00071CC0"/>
    <w:rsid w:val="00073C8C"/>
    <w:rsid w:val="00077245"/>
    <w:rsid w:val="00077B64"/>
    <w:rsid w:val="00080A1C"/>
    <w:rsid w:val="00082317"/>
    <w:rsid w:val="00083D2C"/>
    <w:rsid w:val="00086AA1"/>
    <w:rsid w:val="00087A77"/>
    <w:rsid w:val="00090CA6"/>
    <w:rsid w:val="00092B8A"/>
    <w:rsid w:val="00092FB0"/>
    <w:rsid w:val="00092FFB"/>
    <w:rsid w:val="000934C5"/>
    <w:rsid w:val="00093D25"/>
    <w:rsid w:val="00093DAB"/>
    <w:rsid w:val="00094D73"/>
    <w:rsid w:val="00096D63"/>
    <w:rsid w:val="000A0B60"/>
    <w:rsid w:val="000A0EB8"/>
    <w:rsid w:val="000A0F45"/>
    <w:rsid w:val="000A19FC"/>
    <w:rsid w:val="000A296B"/>
    <w:rsid w:val="000A6A5F"/>
    <w:rsid w:val="000A7311"/>
    <w:rsid w:val="000B0317"/>
    <w:rsid w:val="000B060F"/>
    <w:rsid w:val="000B1592"/>
    <w:rsid w:val="000B1FF2"/>
    <w:rsid w:val="000B3CDA"/>
    <w:rsid w:val="000B4D2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140"/>
    <w:rsid w:val="000E6FD7"/>
    <w:rsid w:val="000F06E1"/>
    <w:rsid w:val="000F0E3C"/>
    <w:rsid w:val="000F19D5"/>
    <w:rsid w:val="000F4AEA"/>
    <w:rsid w:val="000F633F"/>
    <w:rsid w:val="000F67E9"/>
    <w:rsid w:val="00104926"/>
    <w:rsid w:val="001120AA"/>
    <w:rsid w:val="00112CE0"/>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01F"/>
    <w:rsid w:val="00157894"/>
    <w:rsid w:val="00157B55"/>
    <w:rsid w:val="001642FA"/>
    <w:rsid w:val="001649EB"/>
    <w:rsid w:val="00164BAF"/>
    <w:rsid w:val="00164FA8"/>
    <w:rsid w:val="00165065"/>
    <w:rsid w:val="00165434"/>
    <w:rsid w:val="0016580B"/>
    <w:rsid w:val="00165F49"/>
    <w:rsid w:val="00166B88"/>
    <w:rsid w:val="00167687"/>
    <w:rsid w:val="0016770A"/>
    <w:rsid w:val="00170804"/>
    <w:rsid w:val="001708E9"/>
    <w:rsid w:val="0017340B"/>
    <w:rsid w:val="00173FB1"/>
    <w:rsid w:val="00176DFD"/>
    <w:rsid w:val="001852C9"/>
    <w:rsid w:val="00185639"/>
    <w:rsid w:val="00185BCC"/>
    <w:rsid w:val="00187512"/>
    <w:rsid w:val="00190087"/>
    <w:rsid w:val="001913C4"/>
    <w:rsid w:val="00192BBE"/>
    <w:rsid w:val="0019348F"/>
    <w:rsid w:val="00193A07"/>
    <w:rsid w:val="00193B81"/>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F3F"/>
    <w:rsid w:val="001E2484"/>
    <w:rsid w:val="001E279D"/>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44E"/>
    <w:rsid w:val="00202AA4"/>
    <w:rsid w:val="002031F7"/>
    <w:rsid w:val="002040E6"/>
    <w:rsid w:val="0020527B"/>
    <w:rsid w:val="00205F2C"/>
    <w:rsid w:val="00210B15"/>
    <w:rsid w:val="002139E7"/>
    <w:rsid w:val="002142EA"/>
    <w:rsid w:val="002204BB"/>
    <w:rsid w:val="00221B79"/>
    <w:rsid w:val="00221C6B"/>
    <w:rsid w:val="002253A1"/>
    <w:rsid w:val="002254C3"/>
    <w:rsid w:val="00225B47"/>
    <w:rsid w:val="00225CF8"/>
    <w:rsid w:val="0022794E"/>
    <w:rsid w:val="002314E9"/>
    <w:rsid w:val="00232296"/>
    <w:rsid w:val="00233D64"/>
    <w:rsid w:val="0023482A"/>
    <w:rsid w:val="002359CB"/>
    <w:rsid w:val="00243540"/>
    <w:rsid w:val="0024497B"/>
    <w:rsid w:val="0024515B"/>
    <w:rsid w:val="00246021"/>
    <w:rsid w:val="0024666E"/>
    <w:rsid w:val="00247F52"/>
    <w:rsid w:val="00250B25"/>
    <w:rsid w:val="00250BBE"/>
    <w:rsid w:val="002515C2"/>
    <w:rsid w:val="00251863"/>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AF3"/>
    <w:rsid w:val="0028455A"/>
    <w:rsid w:val="00285170"/>
    <w:rsid w:val="00285361"/>
    <w:rsid w:val="00286D2C"/>
    <w:rsid w:val="00292D60"/>
    <w:rsid w:val="0029300B"/>
    <w:rsid w:val="00293B30"/>
    <w:rsid w:val="00294393"/>
    <w:rsid w:val="00294D34"/>
    <w:rsid w:val="00294E3B"/>
    <w:rsid w:val="00295F69"/>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D1"/>
    <w:rsid w:val="002A7F44"/>
    <w:rsid w:val="002B0C40"/>
    <w:rsid w:val="002B1966"/>
    <w:rsid w:val="002B4508"/>
    <w:rsid w:val="002B5779"/>
    <w:rsid w:val="002B7332"/>
    <w:rsid w:val="002B7F51"/>
    <w:rsid w:val="002C09E7"/>
    <w:rsid w:val="002C1E06"/>
    <w:rsid w:val="002C1E1C"/>
    <w:rsid w:val="002C3F07"/>
    <w:rsid w:val="002C5278"/>
    <w:rsid w:val="002C62EC"/>
    <w:rsid w:val="002C7EBB"/>
    <w:rsid w:val="002D06C1"/>
    <w:rsid w:val="002D42B5"/>
    <w:rsid w:val="002D4F1A"/>
    <w:rsid w:val="002D6EC6"/>
    <w:rsid w:val="002D79AC"/>
    <w:rsid w:val="002E039D"/>
    <w:rsid w:val="002E4D5A"/>
    <w:rsid w:val="002E6326"/>
    <w:rsid w:val="002E7377"/>
    <w:rsid w:val="002F30E0"/>
    <w:rsid w:val="002F35E4"/>
    <w:rsid w:val="002F3730"/>
    <w:rsid w:val="002F38E1"/>
    <w:rsid w:val="002F3C00"/>
    <w:rsid w:val="002F7AF6"/>
    <w:rsid w:val="00300E63"/>
    <w:rsid w:val="00302F5F"/>
    <w:rsid w:val="0030441D"/>
    <w:rsid w:val="00306063"/>
    <w:rsid w:val="00311069"/>
    <w:rsid w:val="00313B85"/>
    <w:rsid w:val="00317988"/>
    <w:rsid w:val="003221B4"/>
    <w:rsid w:val="0032258D"/>
    <w:rsid w:val="00322E62"/>
    <w:rsid w:val="00324D13"/>
    <w:rsid w:val="00324D2A"/>
    <w:rsid w:val="00324EDD"/>
    <w:rsid w:val="0032628E"/>
    <w:rsid w:val="003331E4"/>
    <w:rsid w:val="00336C64"/>
    <w:rsid w:val="00337162"/>
    <w:rsid w:val="0034194F"/>
    <w:rsid w:val="00344605"/>
    <w:rsid w:val="003474AA"/>
    <w:rsid w:val="00350D1D"/>
    <w:rsid w:val="00352C83"/>
    <w:rsid w:val="003615D2"/>
    <w:rsid w:val="00363882"/>
    <w:rsid w:val="0036429C"/>
    <w:rsid w:val="00364A53"/>
    <w:rsid w:val="003652D8"/>
    <w:rsid w:val="003654CB"/>
    <w:rsid w:val="00365AA9"/>
    <w:rsid w:val="00365F86"/>
    <w:rsid w:val="00365F87"/>
    <w:rsid w:val="00366E89"/>
    <w:rsid w:val="003705F4"/>
    <w:rsid w:val="00370D58"/>
    <w:rsid w:val="00371316"/>
    <w:rsid w:val="003717F2"/>
    <w:rsid w:val="00376713"/>
    <w:rsid w:val="00376A6E"/>
    <w:rsid w:val="00381815"/>
    <w:rsid w:val="003819AF"/>
    <w:rsid w:val="003820E9"/>
    <w:rsid w:val="00382C12"/>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DFC"/>
    <w:rsid w:val="003A1582"/>
    <w:rsid w:val="003A4077"/>
    <w:rsid w:val="003B09AD"/>
    <w:rsid w:val="003B1F18"/>
    <w:rsid w:val="003B359B"/>
    <w:rsid w:val="003B5BF0"/>
    <w:rsid w:val="003B60BF"/>
    <w:rsid w:val="003B6BE3"/>
    <w:rsid w:val="003C010C"/>
    <w:rsid w:val="003C0A6C"/>
    <w:rsid w:val="003C14F8"/>
    <w:rsid w:val="003C4B43"/>
    <w:rsid w:val="003C5A43"/>
    <w:rsid w:val="003D0519"/>
    <w:rsid w:val="003D0FF6"/>
    <w:rsid w:val="003D262C"/>
    <w:rsid w:val="003D5DB9"/>
    <w:rsid w:val="003D5DBA"/>
    <w:rsid w:val="003D6D61"/>
    <w:rsid w:val="003D79C6"/>
    <w:rsid w:val="003E091D"/>
    <w:rsid w:val="003E1C53"/>
    <w:rsid w:val="003E2A16"/>
    <w:rsid w:val="003E2A69"/>
    <w:rsid w:val="003E2D49"/>
    <w:rsid w:val="003E2FD4"/>
    <w:rsid w:val="003E49F6"/>
    <w:rsid w:val="003E660F"/>
    <w:rsid w:val="003F0841"/>
    <w:rsid w:val="003F23D3"/>
    <w:rsid w:val="003F3F08"/>
    <w:rsid w:val="003F49F1"/>
    <w:rsid w:val="003F6272"/>
    <w:rsid w:val="00400E72"/>
    <w:rsid w:val="00401400"/>
    <w:rsid w:val="00402FC6"/>
    <w:rsid w:val="00404869"/>
    <w:rsid w:val="00405884"/>
    <w:rsid w:val="00407D39"/>
    <w:rsid w:val="0041477A"/>
    <w:rsid w:val="0041490B"/>
    <w:rsid w:val="004167A3"/>
    <w:rsid w:val="0041698E"/>
    <w:rsid w:val="00432DAA"/>
    <w:rsid w:val="00434305"/>
    <w:rsid w:val="00434574"/>
    <w:rsid w:val="00435DF7"/>
    <w:rsid w:val="0044083F"/>
    <w:rsid w:val="00441AE7"/>
    <w:rsid w:val="004450CE"/>
    <w:rsid w:val="00445574"/>
    <w:rsid w:val="004467FB"/>
    <w:rsid w:val="00452D6B"/>
    <w:rsid w:val="00454484"/>
    <w:rsid w:val="0045517B"/>
    <w:rsid w:val="00463B77"/>
    <w:rsid w:val="00463C7B"/>
    <w:rsid w:val="004644A6"/>
    <w:rsid w:val="004659BD"/>
    <w:rsid w:val="00470775"/>
    <w:rsid w:val="004746B1"/>
    <w:rsid w:val="0047583F"/>
    <w:rsid w:val="00475DE8"/>
    <w:rsid w:val="00481879"/>
    <w:rsid w:val="00481C44"/>
    <w:rsid w:val="00484936"/>
    <w:rsid w:val="00485C89"/>
    <w:rsid w:val="00486BE3"/>
    <w:rsid w:val="004905E4"/>
    <w:rsid w:val="00490A89"/>
    <w:rsid w:val="00490AB4"/>
    <w:rsid w:val="00490CCA"/>
    <w:rsid w:val="00492F02"/>
    <w:rsid w:val="004939AE"/>
    <w:rsid w:val="00495A34"/>
    <w:rsid w:val="004A12DF"/>
    <w:rsid w:val="004A17E6"/>
    <w:rsid w:val="004A1BA8"/>
    <w:rsid w:val="004A30AA"/>
    <w:rsid w:val="004A4B57"/>
    <w:rsid w:val="004A4CF1"/>
    <w:rsid w:val="004A519D"/>
    <w:rsid w:val="004A63FA"/>
    <w:rsid w:val="004B0272"/>
    <w:rsid w:val="004B1D0D"/>
    <w:rsid w:val="004B2701"/>
    <w:rsid w:val="004B2E1B"/>
    <w:rsid w:val="004B3AA8"/>
    <w:rsid w:val="004B3E93"/>
    <w:rsid w:val="004C1FBC"/>
    <w:rsid w:val="004C3F1D"/>
    <w:rsid w:val="004C458D"/>
    <w:rsid w:val="004C751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0AB"/>
    <w:rsid w:val="004F391A"/>
    <w:rsid w:val="004F3CFB"/>
    <w:rsid w:val="004F6456"/>
    <w:rsid w:val="004F696E"/>
    <w:rsid w:val="004F6C71"/>
    <w:rsid w:val="00501139"/>
    <w:rsid w:val="0050363E"/>
    <w:rsid w:val="005039BC"/>
    <w:rsid w:val="005043BB"/>
    <w:rsid w:val="00504A3D"/>
    <w:rsid w:val="00505767"/>
    <w:rsid w:val="005067DB"/>
    <w:rsid w:val="005073F0"/>
    <w:rsid w:val="00510A7B"/>
    <w:rsid w:val="00512F6E"/>
    <w:rsid w:val="00513038"/>
    <w:rsid w:val="00514174"/>
    <w:rsid w:val="00516088"/>
    <w:rsid w:val="00516B0B"/>
    <w:rsid w:val="00520BF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E0"/>
    <w:rsid w:val="00546022"/>
    <w:rsid w:val="005479DA"/>
    <w:rsid w:val="00547BCC"/>
    <w:rsid w:val="0055013B"/>
    <w:rsid w:val="00551F6F"/>
    <w:rsid w:val="00553CA0"/>
    <w:rsid w:val="00555044"/>
    <w:rsid w:val="00561475"/>
    <w:rsid w:val="0056487B"/>
    <w:rsid w:val="00564FB9"/>
    <w:rsid w:val="00573144"/>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683"/>
    <w:rsid w:val="005C5F21"/>
    <w:rsid w:val="005C7156"/>
    <w:rsid w:val="005D0C75"/>
    <w:rsid w:val="005D4171"/>
    <w:rsid w:val="005D4C44"/>
    <w:rsid w:val="005D6A95"/>
    <w:rsid w:val="005D6B2C"/>
    <w:rsid w:val="005D6D9C"/>
    <w:rsid w:val="005E2335"/>
    <w:rsid w:val="005E34CA"/>
    <w:rsid w:val="005E3C18"/>
    <w:rsid w:val="005E6812"/>
    <w:rsid w:val="005E7881"/>
    <w:rsid w:val="005E78E0"/>
    <w:rsid w:val="005F0D9C"/>
    <w:rsid w:val="005F284E"/>
    <w:rsid w:val="005F4712"/>
    <w:rsid w:val="005F5DEB"/>
    <w:rsid w:val="006015CE"/>
    <w:rsid w:val="00604784"/>
    <w:rsid w:val="00606419"/>
    <w:rsid w:val="00607D29"/>
    <w:rsid w:val="00612952"/>
    <w:rsid w:val="00614CC1"/>
    <w:rsid w:val="00615A9D"/>
    <w:rsid w:val="0061609F"/>
    <w:rsid w:val="00617387"/>
    <w:rsid w:val="006205D6"/>
    <w:rsid w:val="006252D8"/>
    <w:rsid w:val="006259BC"/>
    <w:rsid w:val="0062636B"/>
    <w:rsid w:val="0063067D"/>
    <w:rsid w:val="00632182"/>
    <w:rsid w:val="00632AE0"/>
    <w:rsid w:val="00633C17"/>
    <w:rsid w:val="00634D9E"/>
    <w:rsid w:val="00636E3E"/>
    <w:rsid w:val="006379F7"/>
    <w:rsid w:val="00637E4D"/>
    <w:rsid w:val="00640620"/>
    <w:rsid w:val="00641A1F"/>
    <w:rsid w:val="00643FC8"/>
    <w:rsid w:val="00645443"/>
    <w:rsid w:val="00645904"/>
    <w:rsid w:val="00651ACB"/>
    <w:rsid w:val="00651C47"/>
    <w:rsid w:val="00652AB2"/>
    <w:rsid w:val="00653FED"/>
    <w:rsid w:val="00654EC0"/>
    <w:rsid w:val="0065525B"/>
    <w:rsid w:val="00655D4F"/>
    <w:rsid w:val="00656D29"/>
    <w:rsid w:val="00660965"/>
    <w:rsid w:val="006640E5"/>
    <w:rsid w:val="006646F1"/>
    <w:rsid w:val="00664929"/>
    <w:rsid w:val="00664F62"/>
    <w:rsid w:val="006655E1"/>
    <w:rsid w:val="00672060"/>
    <w:rsid w:val="00672BFD"/>
    <w:rsid w:val="0067443B"/>
    <w:rsid w:val="006770F4"/>
    <w:rsid w:val="00677A84"/>
    <w:rsid w:val="0068026D"/>
    <w:rsid w:val="00680A27"/>
    <w:rsid w:val="00680A60"/>
    <w:rsid w:val="006816A4"/>
    <w:rsid w:val="006819B8"/>
    <w:rsid w:val="006840A6"/>
    <w:rsid w:val="006850CD"/>
    <w:rsid w:val="00685AAB"/>
    <w:rsid w:val="006952A8"/>
    <w:rsid w:val="00695D22"/>
    <w:rsid w:val="006A07AA"/>
    <w:rsid w:val="006A25E5"/>
    <w:rsid w:val="006A2B46"/>
    <w:rsid w:val="006A336D"/>
    <w:rsid w:val="006A37B9"/>
    <w:rsid w:val="006B2341"/>
    <w:rsid w:val="006B2672"/>
    <w:rsid w:val="006B2A7A"/>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4E77"/>
    <w:rsid w:val="006D6593"/>
    <w:rsid w:val="006E23EA"/>
    <w:rsid w:val="006E596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6AD"/>
    <w:rsid w:val="00724879"/>
    <w:rsid w:val="00724E1B"/>
    <w:rsid w:val="00725949"/>
    <w:rsid w:val="00727FA2"/>
    <w:rsid w:val="007322D9"/>
    <w:rsid w:val="00732BC0"/>
    <w:rsid w:val="0073720F"/>
    <w:rsid w:val="00737796"/>
    <w:rsid w:val="00737EC3"/>
    <w:rsid w:val="0074165C"/>
    <w:rsid w:val="00742C35"/>
    <w:rsid w:val="007432CA"/>
    <w:rsid w:val="007439EB"/>
    <w:rsid w:val="00743CB4"/>
    <w:rsid w:val="00743F0A"/>
    <w:rsid w:val="007444E8"/>
    <w:rsid w:val="0074548E"/>
    <w:rsid w:val="00745773"/>
    <w:rsid w:val="00746800"/>
    <w:rsid w:val="007501A8"/>
    <w:rsid w:val="0075050E"/>
    <w:rsid w:val="00750D61"/>
    <w:rsid w:val="00750EE1"/>
    <w:rsid w:val="00752B4D"/>
    <w:rsid w:val="00755402"/>
    <w:rsid w:val="00756B26"/>
    <w:rsid w:val="00756EDF"/>
    <w:rsid w:val="007600E3"/>
    <w:rsid w:val="00761B1C"/>
    <w:rsid w:val="00765C43"/>
    <w:rsid w:val="00765EFB"/>
    <w:rsid w:val="007671CA"/>
    <w:rsid w:val="00767C61"/>
    <w:rsid w:val="0077008A"/>
    <w:rsid w:val="00773C1F"/>
    <w:rsid w:val="00774DA4"/>
    <w:rsid w:val="00776599"/>
    <w:rsid w:val="0078114B"/>
    <w:rsid w:val="00781DD2"/>
    <w:rsid w:val="00783ECF"/>
    <w:rsid w:val="0078413A"/>
    <w:rsid w:val="0078749A"/>
    <w:rsid w:val="00793807"/>
    <w:rsid w:val="007959E8"/>
    <w:rsid w:val="00795E9C"/>
    <w:rsid w:val="007A0521"/>
    <w:rsid w:val="007A2E12"/>
    <w:rsid w:val="007A3475"/>
    <w:rsid w:val="007A41C8"/>
    <w:rsid w:val="007A54CE"/>
    <w:rsid w:val="007A6FD9"/>
    <w:rsid w:val="007A7FFA"/>
    <w:rsid w:val="007B04EB"/>
    <w:rsid w:val="007B0D4F"/>
    <w:rsid w:val="007B276F"/>
    <w:rsid w:val="007B5A3D"/>
    <w:rsid w:val="007B5B95"/>
    <w:rsid w:val="007B5F85"/>
    <w:rsid w:val="007B68EA"/>
    <w:rsid w:val="007B7453"/>
    <w:rsid w:val="007C0038"/>
    <w:rsid w:val="007C1E8B"/>
    <w:rsid w:val="007C2D89"/>
    <w:rsid w:val="007C4593"/>
    <w:rsid w:val="007C5309"/>
    <w:rsid w:val="007C6069"/>
    <w:rsid w:val="007D06C4"/>
    <w:rsid w:val="007D1352"/>
    <w:rsid w:val="007D2508"/>
    <w:rsid w:val="007D346A"/>
    <w:rsid w:val="007D4332"/>
    <w:rsid w:val="007D6518"/>
    <w:rsid w:val="007D76BD"/>
    <w:rsid w:val="007E0BF1"/>
    <w:rsid w:val="007E437A"/>
    <w:rsid w:val="007E5C5B"/>
    <w:rsid w:val="007E713C"/>
    <w:rsid w:val="007F0ED8"/>
    <w:rsid w:val="007F0F63"/>
    <w:rsid w:val="007F435B"/>
    <w:rsid w:val="007F75CE"/>
    <w:rsid w:val="008013A4"/>
    <w:rsid w:val="008027CE"/>
    <w:rsid w:val="00802F42"/>
    <w:rsid w:val="00804383"/>
    <w:rsid w:val="00804BB7"/>
    <w:rsid w:val="00804D41"/>
    <w:rsid w:val="00810257"/>
    <w:rsid w:val="008104F5"/>
    <w:rsid w:val="00811072"/>
    <w:rsid w:val="00811369"/>
    <w:rsid w:val="00811C3F"/>
    <w:rsid w:val="00813367"/>
    <w:rsid w:val="00815419"/>
    <w:rsid w:val="008163C8"/>
    <w:rsid w:val="008164A1"/>
    <w:rsid w:val="00816AEC"/>
    <w:rsid w:val="00817325"/>
    <w:rsid w:val="008209E6"/>
    <w:rsid w:val="00823303"/>
    <w:rsid w:val="008233B2"/>
    <w:rsid w:val="00823A9F"/>
    <w:rsid w:val="00823C85"/>
    <w:rsid w:val="00825138"/>
    <w:rsid w:val="0082671D"/>
    <w:rsid w:val="008269DD"/>
    <w:rsid w:val="00830621"/>
    <w:rsid w:val="0083348C"/>
    <w:rsid w:val="008373D3"/>
    <w:rsid w:val="00840617"/>
    <w:rsid w:val="00840F84"/>
    <w:rsid w:val="00842A47"/>
    <w:rsid w:val="00843C13"/>
    <w:rsid w:val="008454F8"/>
    <w:rsid w:val="008459C7"/>
    <w:rsid w:val="00847218"/>
    <w:rsid w:val="0085173A"/>
    <w:rsid w:val="00856316"/>
    <w:rsid w:val="008603CE"/>
    <w:rsid w:val="008620FC"/>
    <w:rsid w:val="008627A5"/>
    <w:rsid w:val="00863E05"/>
    <w:rsid w:val="00865ACA"/>
    <w:rsid w:val="00865D28"/>
    <w:rsid w:val="00865F85"/>
    <w:rsid w:val="00867C10"/>
    <w:rsid w:val="00870439"/>
    <w:rsid w:val="00870DA1"/>
    <w:rsid w:val="00876189"/>
    <w:rsid w:val="00883EBC"/>
    <w:rsid w:val="00883F93"/>
    <w:rsid w:val="00884DB3"/>
    <w:rsid w:val="00885A9D"/>
    <w:rsid w:val="008864F6"/>
    <w:rsid w:val="0089049D"/>
    <w:rsid w:val="008928C9"/>
    <w:rsid w:val="008930CB"/>
    <w:rsid w:val="008938DC"/>
    <w:rsid w:val="00893FD1"/>
    <w:rsid w:val="00894836"/>
    <w:rsid w:val="00895172"/>
    <w:rsid w:val="00895680"/>
    <w:rsid w:val="00896DFF"/>
    <w:rsid w:val="00897381"/>
    <w:rsid w:val="0089762C"/>
    <w:rsid w:val="008A1893"/>
    <w:rsid w:val="008A3215"/>
    <w:rsid w:val="008A57E6"/>
    <w:rsid w:val="008A6F81"/>
    <w:rsid w:val="008A769A"/>
    <w:rsid w:val="008B0A4B"/>
    <w:rsid w:val="008B0C9C"/>
    <w:rsid w:val="008B166D"/>
    <w:rsid w:val="008B17F4"/>
    <w:rsid w:val="008B1E67"/>
    <w:rsid w:val="008B3615"/>
    <w:rsid w:val="008B4AC4"/>
    <w:rsid w:val="008B50C8"/>
    <w:rsid w:val="008B5281"/>
    <w:rsid w:val="008B7E05"/>
    <w:rsid w:val="008C1797"/>
    <w:rsid w:val="008C219C"/>
    <w:rsid w:val="008C475E"/>
    <w:rsid w:val="008C4C2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862"/>
    <w:rsid w:val="00915C3E"/>
    <w:rsid w:val="009161A8"/>
    <w:rsid w:val="009245F5"/>
    <w:rsid w:val="009249EC"/>
    <w:rsid w:val="009273B3"/>
    <w:rsid w:val="009305B5"/>
    <w:rsid w:val="00937DCB"/>
    <w:rsid w:val="009429D5"/>
    <w:rsid w:val="00942BF1"/>
    <w:rsid w:val="00945180"/>
    <w:rsid w:val="00945428"/>
    <w:rsid w:val="0094607B"/>
    <w:rsid w:val="00947D4C"/>
    <w:rsid w:val="00952AE7"/>
    <w:rsid w:val="00953604"/>
    <w:rsid w:val="0095496B"/>
    <w:rsid w:val="009610DC"/>
    <w:rsid w:val="00961490"/>
    <w:rsid w:val="0096381A"/>
    <w:rsid w:val="00965E04"/>
    <w:rsid w:val="009662BA"/>
    <w:rsid w:val="009674AD"/>
    <w:rsid w:val="00970CDC"/>
    <w:rsid w:val="00975876"/>
    <w:rsid w:val="00977010"/>
    <w:rsid w:val="00977D02"/>
    <w:rsid w:val="009809BB"/>
    <w:rsid w:val="0098364B"/>
    <w:rsid w:val="009911AF"/>
    <w:rsid w:val="00991875"/>
    <w:rsid w:val="00991F92"/>
    <w:rsid w:val="00992985"/>
    <w:rsid w:val="00993889"/>
    <w:rsid w:val="0099551B"/>
    <w:rsid w:val="00996E5A"/>
    <w:rsid w:val="00997BF1"/>
    <w:rsid w:val="009A089C"/>
    <w:rsid w:val="009A118E"/>
    <w:rsid w:val="009A21CD"/>
    <w:rsid w:val="009A278C"/>
    <w:rsid w:val="009A2BC2"/>
    <w:rsid w:val="009A42C1"/>
    <w:rsid w:val="009A46A6"/>
    <w:rsid w:val="009A5429"/>
    <w:rsid w:val="009A72AD"/>
    <w:rsid w:val="009B09E0"/>
    <w:rsid w:val="009B0BC5"/>
    <w:rsid w:val="009B1247"/>
    <w:rsid w:val="009B1EF0"/>
    <w:rsid w:val="009B46F9"/>
    <w:rsid w:val="009B6029"/>
    <w:rsid w:val="009B6971"/>
    <w:rsid w:val="009C0CF4"/>
    <w:rsid w:val="009C27F1"/>
    <w:rsid w:val="009C3152"/>
    <w:rsid w:val="009C46AD"/>
    <w:rsid w:val="009C4CFA"/>
    <w:rsid w:val="009C5070"/>
    <w:rsid w:val="009C7FDC"/>
    <w:rsid w:val="009D112C"/>
    <w:rsid w:val="009D408A"/>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DA6"/>
    <w:rsid w:val="00A30EFC"/>
    <w:rsid w:val="00A31984"/>
    <w:rsid w:val="00A32D73"/>
    <w:rsid w:val="00A3367B"/>
    <w:rsid w:val="00A34754"/>
    <w:rsid w:val="00A3597D"/>
    <w:rsid w:val="00A36DD1"/>
    <w:rsid w:val="00A4006C"/>
    <w:rsid w:val="00A40091"/>
    <w:rsid w:val="00A4030F"/>
    <w:rsid w:val="00A41C79"/>
    <w:rsid w:val="00A41CB5"/>
    <w:rsid w:val="00A42CDF"/>
    <w:rsid w:val="00A4452E"/>
    <w:rsid w:val="00A4472C"/>
    <w:rsid w:val="00A44E69"/>
    <w:rsid w:val="00A4661E"/>
    <w:rsid w:val="00A474DE"/>
    <w:rsid w:val="00A54943"/>
    <w:rsid w:val="00A55BD6"/>
    <w:rsid w:val="00A55D50"/>
    <w:rsid w:val="00A57142"/>
    <w:rsid w:val="00A6004A"/>
    <w:rsid w:val="00A60F20"/>
    <w:rsid w:val="00A648CD"/>
    <w:rsid w:val="00A6537A"/>
    <w:rsid w:val="00A67866"/>
    <w:rsid w:val="00A70B07"/>
    <w:rsid w:val="00A723F8"/>
    <w:rsid w:val="00A77CCB"/>
    <w:rsid w:val="00A816A9"/>
    <w:rsid w:val="00A83D8D"/>
    <w:rsid w:val="00A8446B"/>
    <w:rsid w:val="00A8473F"/>
    <w:rsid w:val="00A862D6"/>
    <w:rsid w:val="00A8715E"/>
    <w:rsid w:val="00A9295B"/>
    <w:rsid w:val="00A93B09"/>
    <w:rsid w:val="00A93D4D"/>
    <w:rsid w:val="00A94247"/>
    <w:rsid w:val="00A952D7"/>
    <w:rsid w:val="00A963F7"/>
    <w:rsid w:val="00A96AD8"/>
    <w:rsid w:val="00AA052C"/>
    <w:rsid w:val="00AA1E45"/>
    <w:rsid w:val="00AA4286"/>
    <w:rsid w:val="00AA456B"/>
    <w:rsid w:val="00AA4CEF"/>
    <w:rsid w:val="00AA57F5"/>
    <w:rsid w:val="00AA672E"/>
    <w:rsid w:val="00AA6EC9"/>
    <w:rsid w:val="00AB41D5"/>
    <w:rsid w:val="00AB4A89"/>
    <w:rsid w:val="00AB6309"/>
    <w:rsid w:val="00AB6C5F"/>
    <w:rsid w:val="00AB7129"/>
    <w:rsid w:val="00AC074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CBC"/>
    <w:rsid w:val="00AF47AE"/>
    <w:rsid w:val="00AF47C5"/>
    <w:rsid w:val="00AF5398"/>
    <w:rsid w:val="00B0199F"/>
    <w:rsid w:val="00B049AF"/>
    <w:rsid w:val="00B0589C"/>
    <w:rsid w:val="00B07242"/>
    <w:rsid w:val="00B077AA"/>
    <w:rsid w:val="00B10534"/>
    <w:rsid w:val="00B10713"/>
    <w:rsid w:val="00B113DB"/>
    <w:rsid w:val="00B11D8A"/>
    <w:rsid w:val="00B12981"/>
    <w:rsid w:val="00B147DD"/>
    <w:rsid w:val="00B14D0A"/>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B5F"/>
    <w:rsid w:val="00B65149"/>
    <w:rsid w:val="00B66567"/>
    <w:rsid w:val="00B66F52"/>
    <w:rsid w:val="00B66FE5"/>
    <w:rsid w:val="00B72880"/>
    <w:rsid w:val="00B73F85"/>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E11"/>
    <w:rsid w:val="00BE0CEE"/>
    <w:rsid w:val="00BE22F3"/>
    <w:rsid w:val="00BE5B52"/>
    <w:rsid w:val="00BE7B8D"/>
    <w:rsid w:val="00BF0993"/>
    <w:rsid w:val="00BF10A9"/>
    <w:rsid w:val="00BF1703"/>
    <w:rsid w:val="00BF198E"/>
    <w:rsid w:val="00BF1AEE"/>
    <w:rsid w:val="00BF231C"/>
    <w:rsid w:val="00BF51E5"/>
    <w:rsid w:val="00BF74A6"/>
    <w:rsid w:val="00C013AD"/>
    <w:rsid w:val="00C03341"/>
    <w:rsid w:val="00C03531"/>
    <w:rsid w:val="00C04904"/>
    <w:rsid w:val="00C056B3"/>
    <w:rsid w:val="00C075DA"/>
    <w:rsid w:val="00C103E5"/>
    <w:rsid w:val="00C13319"/>
    <w:rsid w:val="00C13EE9"/>
    <w:rsid w:val="00C14409"/>
    <w:rsid w:val="00C21540"/>
    <w:rsid w:val="00C21906"/>
    <w:rsid w:val="00C21BFA"/>
    <w:rsid w:val="00C22148"/>
    <w:rsid w:val="00C24C8D"/>
    <w:rsid w:val="00C25FE2"/>
    <w:rsid w:val="00C26B53"/>
    <w:rsid w:val="00C279B2"/>
    <w:rsid w:val="00C31352"/>
    <w:rsid w:val="00C3362A"/>
    <w:rsid w:val="00C33E50"/>
    <w:rsid w:val="00C34C20"/>
    <w:rsid w:val="00C35A3E"/>
    <w:rsid w:val="00C42130"/>
    <w:rsid w:val="00C423A4"/>
    <w:rsid w:val="00C44BF5"/>
    <w:rsid w:val="00C521D6"/>
    <w:rsid w:val="00C55232"/>
    <w:rsid w:val="00C553A4"/>
    <w:rsid w:val="00C55A06"/>
    <w:rsid w:val="00C55D03"/>
    <w:rsid w:val="00C601BC"/>
    <w:rsid w:val="00C61C36"/>
    <w:rsid w:val="00C6329F"/>
    <w:rsid w:val="00C63340"/>
    <w:rsid w:val="00C643F9"/>
    <w:rsid w:val="00C64E95"/>
    <w:rsid w:val="00C71372"/>
    <w:rsid w:val="00C72410"/>
    <w:rsid w:val="00C7287F"/>
    <w:rsid w:val="00C761B3"/>
    <w:rsid w:val="00C80982"/>
    <w:rsid w:val="00C80CB8"/>
    <w:rsid w:val="00C819F8"/>
    <w:rsid w:val="00C8248C"/>
    <w:rsid w:val="00C84E33"/>
    <w:rsid w:val="00C86D6F"/>
    <w:rsid w:val="00C905FC"/>
    <w:rsid w:val="00C9195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0EA"/>
    <w:rsid w:val="00CC038D"/>
    <w:rsid w:val="00CC08DB"/>
    <w:rsid w:val="00CC39FF"/>
    <w:rsid w:val="00CC3C2F"/>
    <w:rsid w:val="00CC4592"/>
    <w:rsid w:val="00CC4AC8"/>
    <w:rsid w:val="00CC5233"/>
    <w:rsid w:val="00CC5DE6"/>
    <w:rsid w:val="00CC6E4E"/>
    <w:rsid w:val="00CC6FE8"/>
    <w:rsid w:val="00CC7202"/>
    <w:rsid w:val="00CD2808"/>
    <w:rsid w:val="00CD28BF"/>
    <w:rsid w:val="00CD4092"/>
    <w:rsid w:val="00CD4A20"/>
    <w:rsid w:val="00CD50A1"/>
    <w:rsid w:val="00CD519E"/>
    <w:rsid w:val="00CD561D"/>
    <w:rsid w:val="00CE0385"/>
    <w:rsid w:val="00CE0C4F"/>
    <w:rsid w:val="00CE30EA"/>
    <w:rsid w:val="00CE3A90"/>
    <w:rsid w:val="00CF048A"/>
    <w:rsid w:val="00CF155A"/>
    <w:rsid w:val="00CF2947"/>
    <w:rsid w:val="00CF36F9"/>
    <w:rsid w:val="00CF686F"/>
    <w:rsid w:val="00CF6E60"/>
    <w:rsid w:val="00CF7BCA"/>
    <w:rsid w:val="00D008FD"/>
    <w:rsid w:val="00D0321C"/>
    <w:rsid w:val="00D035EC"/>
    <w:rsid w:val="00D06AB1"/>
    <w:rsid w:val="00D072ED"/>
    <w:rsid w:val="00D07A16"/>
    <w:rsid w:val="00D101F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31C"/>
    <w:rsid w:val="00D466AE"/>
    <w:rsid w:val="00D4734F"/>
    <w:rsid w:val="00D51BF3"/>
    <w:rsid w:val="00D54E9F"/>
    <w:rsid w:val="00D66846"/>
    <w:rsid w:val="00D675FB"/>
    <w:rsid w:val="00D71F25"/>
    <w:rsid w:val="00D72A9C"/>
    <w:rsid w:val="00D77031"/>
    <w:rsid w:val="00D82897"/>
    <w:rsid w:val="00D84941"/>
    <w:rsid w:val="00D84FA1"/>
    <w:rsid w:val="00D851F0"/>
    <w:rsid w:val="00D86DB7"/>
    <w:rsid w:val="00D926D0"/>
    <w:rsid w:val="00D93030"/>
    <w:rsid w:val="00D950E1"/>
    <w:rsid w:val="00D952A6"/>
    <w:rsid w:val="00D97F99"/>
    <w:rsid w:val="00DA1E08"/>
    <w:rsid w:val="00DA24F8"/>
    <w:rsid w:val="00DA28E8"/>
    <w:rsid w:val="00DA3191"/>
    <w:rsid w:val="00DA38D3"/>
    <w:rsid w:val="00DA3932"/>
    <w:rsid w:val="00DA3AFC"/>
    <w:rsid w:val="00DA5191"/>
    <w:rsid w:val="00DA64F8"/>
    <w:rsid w:val="00DA6C15"/>
    <w:rsid w:val="00DB0258"/>
    <w:rsid w:val="00DB38EE"/>
    <w:rsid w:val="00DB498B"/>
    <w:rsid w:val="00DB66CA"/>
    <w:rsid w:val="00DB6BCA"/>
    <w:rsid w:val="00DB73F7"/>
    <w:rsid w:val="00DB7EBD"/>
    <w:rsid w:val="00DC0321"/>
    <w:rsid w:val="00DC0B79"/>
    <w:rsid w:val="00DC3067"/>
    <w:rsid w:val="00DC370B"/>
    <w:rsid w:val="00DC5B90"/>
    <w:rsid w:val="00DC7E2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651"/>
    <w:rsid w:val="00E77A03"/>
    <w:rsid w:val="00E822E8"/>
    <w:rsid w:val="00E82554"/>
    <w:rsid w:val="00E82606"/>
    <w:rsid w:val="00E846C8"/>
    <w:rsid w:val="00E84957"/>
    <w:rsid w:val="00E84A55"/>
    <w:rsid w:val="00E85BFF"/>
    <w:rsid w:val="00E87D6A"/>
    <w:rsid w:val="00E90391"/>
    <w:rsid w:val="00E906C2"/>
    <w:rsid w:val="00E9311F"/>
    <w:rsid w:val="00E934D1"/>
    <w:rsid w:val="00E94AF0"/>
    <w:rsid w:val="00E95D13"/>
    <w:rsid w:val="00E95DD3"/>
    <w:rsid w:val="00E969D5"/>
    <w:rsid w:val="00E96A3C"/>
    <w:rsid w:val="00EA58D1"/>
    <w:rsid w:val="00EA61BC"/>
    <w:rsid w:val="00EA681A"/>
    <w:rsid w:val="00EA735B"/>
    <w:rsid w:val="00EB17DE"/>
    <w:rsid w:val="00EB1E69"/>
    <w:rsid w:val="00EB2086"/>
    <w:rsid w:val="00EB5EDF"/>
    <w:rsid w:val="00EB60FE"/>
    <w:rsid w:val="00EB6FFC"/>
    <w:rsid w:val="00EB74DB"/>
    <w:rsid w:val="00EC5359"/>
    <w:rsid w:val="00EC562A"/>
    <w:rsid w:val="00EC6776"/>
    <w:rsid w:val="00ED067A"/>
    <w:rsid w:val="00ED2B50"/>
    <w:rsid w:val="00EE0350"/>
    <w:rsid w:val="00EE0719"/>
    <w:rsid w:val="00EE0E80"/>
    <w:rsid w:val="00EE139F"/>
    <w:rsid w:val="00EE54A6"/>
    <w:rsid w:val="00EE613F"/>
    <w:rsid w:val="00EE7295"/>
    <w:rsid w:val="00EE74C0"/>
    <w:rsid w:val="00EE7869"/>
    <w:rsid w:val="00EF054A"/>
    <w:rsid w:val="00EF0DBA"/>
    <w:rsid w:val="00EF3235"/>
    <w:rsid w:val="00EF5AD6"/>
    <w:rsid w:val="00EF68ED"/>
    <w:rsid w:val="00EF7E72"/>
    <w:rsid w:val="00F06D37"/>
    <w:rsid w:val="00F07B9D"/>
    <w:rsid w:val="00F11586"/>
    <w:rsid w:val="00F1183B"/>
    <w:rsid w:val="00F11C9F"/>
    <w:rsid w:val="00F12263"/>
    <w:rsid w:val="00F1409D"/>
    <w:rsid w:val="00F14214"/>
    <w:rsid w:val="00F157A9"/>
    <w:rsid w:val="00F25BB6"/>
    <w:rsid w:val="00F26B7E"/>
    <w:rsid w:val="00F279DA"/>
    <w:rsid w:val="00F27A3B"/>
    <w:rsid w:val="00F30C6E"/>
    <w:rsid w:val="00F33817"/>
    <w:rsid w:val="00F35239"/>
    <w:rsid w:val="00F36C11"/>
    <w:rsid w:val="00F36C9A"/>
    <w:rsid w:val="00F420D5"/>
    <w:rsid w:val="00F451EA"/>
    <w:rsid w:val="00F45447"/>
    <w:rsid w:val="00F456C6"/>
    <w:rsid w:val="00F4577B"/>
    <w:rsid w:val="00F46496"/>
    <w:rsid w:val="00F474D0"/>
    <w:rsid w:val="00F50179"/>
    <w:rsid w:val="00F515EE"/>
    <w:rsid w:val="00F56511"/>
    <w:rsid w:val="00F6194E"/>
    <w:rsid w:val="00F623AC"/>
    <w:rsid w:val="00F62C83"/>
    <w:rsid w:val="00F6412A"/>
    <w:rsid w:val="00F65893"/>
    <w:rsid w:val="00F66A4A"/>
    <w:rsid w:val="00F71E22"/>
    <w:rsid w:val="00F72142"/>
    <w:rsid w:val="00F72AE7"/>
    <w:rsid w:val="00F81141"/>
    <w:rsid w:val="00F8163C"/>
    <w:rsid w:val="00F833BA"/>
    <w:rsid w:val="00F84FD0"/>
    <w:rsid w:val="00F859A8"/>
    <w:rsid w:val="00F86D87"/>
    <w:rsid w:val="00F9108B"/>
    <w:rsid w:val="00F91349"/>
    <w:rsid w:val="00F93A8A"/>
    <w:rsid w:val="00F95248"/>
    <w:rsid w:val="00F956A9"/>
    <w:rsid w:val="00F963ED"/>
    <w:rsid w:val="00F966CF"/>
    <w:rsid w:val="00F96CAE"/>
    <w:rsid w:val="00F9768B"/>
    <w:rsid w:val="00F97C99"/>
    <w:rsid w:val="00FA11CA"/>
    <w:rsid w:val="00FA4AC7"/>
    <w:rsid w:val="00FA4DAC"/>
    <w:rsid w:val="00FA5089"/>
    <w:rsid w:val="00FA662D"/>
    <w:rsid w:val="00FA73B1"/>
    <w:rsid w:val="00FB0CB9"/>
    <w:rsid w:val="00FB231D"/>
    <w:rsid w:val="00FB45F1"/>
    <w:rsid w:val="00FB4A72"/>
    <w:rsid w:val="00FB54E8"/>
    <w:rsid w:val="00FB7054"/>
    <w:rsid w:val="00FC17B7"/>
    <w:rsid w:val="00FC2CB7"/>
    <w:rsid w:val="00FC4090"/>
    <w:rsid w:val="00FC55B4"/>
    <w:rsid w:val="00FC7C1F"/>
    <w:rsid w:val="00FD00E6"/>
    <w:rsid w:val="00FD09A1"/>
    <w:rsid w:val="00FD2A7C"/>
    <w:rsid w:val="00FD59EB"/>
    <w:rsid w:val="00FD7299"/>
    <w:rsid w:val="00FE1FBE"/>
    <w:rsid w:val="00FE3901"/>
    <w:rsid w:val="00FE39D3"/>
    <w:rsid w:val="00FE3A75"/>
    <w:rsid w:val="00FE4BCE"/>
    <w:rsid w:val="00FE54AE"/>
    <w:rsid w:val="00FE576A"/>
    <w:rsid w:val="00FE7E79"/>
    <w:rsid w:val="00FF1728"/>
    <w:rsid w:val="00FF3E7D"/>
    <w:rsid w:val="00FF5B99"/>
    <w:rsid w:val="00FF730C"/>
    <w:rsid w:val="00FF73F4"/>
    <w:rsid w:val="00FF7CE4"/>
    <w:rsid w:val="00FF7E39"/>
    <w:rsid w:val="01485A3D"/>
    <w:rsid w:val="01D073CE"/>
    <w:rsid w:val="0316119C"/>
    <w:rsid w:val="033B4CE2"/>
    <w:rsid w:val="04367644"/>
    <w:rsid w:val="04695C6C"/>
    <w:rsid w:val="046C3066"/>
    <w:rsid w:val="060321AA"/>
    <w:rsid w:val="066D4FD8"/>
    <w:rsid w:val="08316AA1"/>
    <w:rsid w:val="09A42C53"/>
    <w:rsid w:val="09B63701"/>
    <w:rsid w:val="0AB67731"/>
    <w:rsid w:val="0AD16319"/>
    <w:rsid w:val="0B2D7863"/>
    <w:rsid w:val="0CF06F2A"/>
    <w:rsid w:val="0FDE4F06"/>
    <w:rsid w:val="10292848"/>
    <w:rsid w:val="117046E9"/>
    <w:rsid w:val="12417FFB"/>
    <w:rsid w:val="12F15525"/>
    <w:rsid w:val="131A7290"/>
    <w:rsid w:val="144E6AF3"/>
    <w:rsid w:val="18055854"/>
    <w:rsid w:val="1A8769F4"/>
    <w:rsid w:val="1C463FE5"/>
    <w:rsid w:val="1CD11494"/>
    <w:rsid w:val="1CF96EB8"/>
    <w:rsid w:val="1E4E3AB1"/>
    <w:rsid w:val="1F15637C"/>
    <w:rsid w:val="1FCB4762"/>
    <w:rsid w:val="21B746B1"/>
    <w:rsid w:val="22FA4207"/>
    <w:rsid w:val="232F50D3"/>
    <w:rsid w:val="25F74A2E"/>
    <w:rsid w:val="26352ACE"/>
    <w:rsid w:val="26357304"/>
    <w:rsid w:val="26A60202"/>
    <w:rsid w:val="28490A6D"/>
    <w:rsid w:val="2AD56653"/>
    <w:rsid w:val="2B133759"/>
    <w:rsid w:val="2B387227"/>
    <w:rsid w:val="2B612949"/>
    <w:rsid w:val="2BA50A88"/>
    <w:rsid w:val="2BEF69F9"/>
    <w:rsid w:val="2D8C4190"/>
    <w:rsid w:val="2E2C0D26"/>
    <w:rsid w:val="2E84585D"/>
    <w:rsid w:val="2E944E0D"/>
    <w:rsid w:val="2F0978A7"/>
    <w:rsid w:val="2F3E36CD"/>
    <w:rsid w:val="31833619"/>
    <w:rsid w:val="31B25CAD"/>
    <w:rsid w:val="331A7FAD"/>
    <w:rsid w:val="335D1FE1"/>
    <w:rsid w:val="36E508D2"/>
    <w:rsid w:val="390F7E89"/>
    <w:rsid w:val="3ADD023E"/>
    <w:rsid w:val="3CA54D8C"/>
    <w:rsid w:val="3F46487E"/>
    <w:rsid w:val="40DC2537"/>
    <w:rsid w:val="41ED12B5"/>
    <w:rsid w:val="425A2175"/>
    <w:rsid w:val="42F63128"/>
    <w:rsid w:val="433E65A7"/>
    <w:rsid w:val="436569D0"/>
    <w:rsid w:val="4493196E"/>
    <w:rsid w:val="459D02EE"/>
    <w:rsid w:val="46560EA5"/>
    <w:rsid w:val="46CD0221"/>
    <w:rsid w:val="4815586D"/>
    <w:rsid w:val="49411BC2"/>
    <w:rsid w:val="49C66341"/>
    <w:rsid w:val="4B5E4E9F"/>
    <w:rsid w:val="4D682A44"/>
    <w:rsid w:val="4E035DB6"/>
    <w:rsid w:val="4E4F7E23"/>
    <w:rsid w:val="52A20D66"/>
    <w:rsid w:val="52CB32A1"/>
    <w:rsid w:val="55023BBD"/>
    <w:rsid w:val="55180399"/>
    <w:rsid w:val="558D714D"/>
    <w:rsid w:val="59695D87"/>
    <w:rsid w:val="5A6279C1"/>
    <w:rsid w:val="5BA504AD"/>
    <w:rsid w:val="5C736283"/>
    <w:rsid w:val="5D746389"/>
    <w:rsid w:val="5E9D190F"/>
    <w:rsid w:val="603F660A"/>
    <w:rsid w:val="615C785F"/>
    <w:rsid w:val="61D10DC1"/>
    <w:rsid w:val="62826007"/>
    <w:rsid w:val="635614A3"/>
    <w:rsid w:val="63E9206E"/>
    <w:rsid w:val="65254FB7"/>
    <w:rsid w:val="658E6FFE"/>
    <w:rsid w:val="65D80B7F"/>
    <w:rsid w:val="672A7AB8"/>
    <w:rsid w:val="67606039"/>
    <w:rsid w:val="68080298"/>
    <w:rsid w:val="68C55CEA"/>
    <w:rsid w:val="68F14D31"/>
    <w:rsid w:val="6BE02E3B"/>
    <w:rsid w:val="6C1B7034"/>
    <w:rsid w:val="6D5D6657"/>
    <w:rsid w:val="6DE92311"/>
    <w:rsid w:val="6FDB4E2B"/>
    <w:rsid w:val="71045209"/>
    <w:rsid w:val="711517D9"/>
    <w:rsid w:val="71357785"/>
    <w:rsid w:val="719721EE"/>
    <w:rsid w:val="728D04B6"/>
    <w:rsid w:val="750A6AC0"/>
    <w:rsid w:val="75136297"/>
    <w:rsid w:val="77E56A88"/>
    <w:rsid w:val="792E51E6"/>
    <w:rsid w:val="793966C1"/>
    <w:rsid w:val="79655BE7"/>
    <w:rsid w:val="7A356A48"/>
    <w:rsid w:val="7A5213A8"/>
    <w:rsid w:val="7A826D97"/>
    <w:rsid w:val="7B315BCA"/>
    <w:rsid w:val="7D502DA7"/>
    <w:rsid w:val="7D627B54"/>
    <w:rsid w:val="7E7E6C0F"/>
    <w:rsid w:val="7F7C5BBA"/>
    <w:rsid w:val="7FC543CA"/>
    <w:rsid w:val="FB499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qFormat="1" w:unhideWhenUsed="0" w:uiPriority="0" w:semiHidden="0"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envelope return"/>
    <w:basedOn w:val="1"/>
    <w:qFormat/>
    <w:uiPriority w:val="0"/>
    <w:pPr>
      <w:adjustRightInd/>
      <w:snapToGrid w:val="0"/>
      <w:spacing w:line="240" w:lineRule="auto"/>
    </w:pPr>
    <w:rPr>
      <w:rFonts w:ascii="Arial" w:hAnsi="Arial" w:eastAsia="仿宋_GB2312" w:cstheme="minorBidi"/>
      <w:sz w:val="32"/>
      <w:szCs w:val="22"/>
    </w:r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annotation text"/>
    <w:basedOn w:val="1"/>
    <w:link w:val="236"/>
    <w:semiHidden/>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37"/>
    <w:semiHidden/>
    <w:unhideWhenUsed/>
    <w:qFormat/>
    <w:uiPriority w:val="99"/>
    <w:rPr>
      <w:b/>
      <w:bCs/>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4"/>
    <w:qFormat/>
    <w:uiPriority w:val="0"/>
    <w:rPr>
      <w:b/>
      <w:bCs/>
      <w:kern w:val="44"/>
      <w:sz w:val="44"/>
      <w:szCs w:val="44"/>
    </w:rPr>
  </w:style>
  <w:style w:type="character" w:customStyle="1" w:styleId="39">
    <w:name w:val="标题 2 字符"/>
    <w:link w:val="5"/>
    <w:qFormat/>
    <w:uiPriority w:val="0"/>
    <w:rPr>
      <w:rFonts w:ascii="Arial" w:hAnsi="Arial" w:eastAsia="黑体"/>
      <w:b/>
      <w:bCs/>
      <w:kern w:val="2"/>
      <w:sz w:val="32"/>
      <w:szCs w:val="32"/>
    </w:rPr>
  </w:style>
  <w:style w:type="character" w:customStyle="1" w:styleId="40">
    <w:name w:val="标题 3 字符"/>
    <w:link w:val="6"/>
    <w:qFormat/>
    <w:uiPriority w:val="0"/>
    <w:rPr>
      <w:b/>
      <w:bCs/>
      <w:kern w:val="2"/>
      <w:sz w:val="32"/>
      <w:szCs w:val="32"/>
    </w:rPr>
  </w:style>
  <w:style w:type="character" w:customStyle="1" w:styleId="41">
    <w:name w:val="标题 4 字符"/>
    <w:link w:val="7"/>
    <w:qFormat/>
    <w:uiPriority w:val="0"/>
    <w:rPr>
      <w:rFonts w:ascii="Arial" w:hAnsi="Arial" w:eastAsia="黑体"/>
      <w:b/>
      <w:bCs/>
      <w:kern w:val="2"/>
      <w:sz w:val="28"/>
      <w:szCs w:val="28"/>
    </w:rPr>
  </w:style>
  <w:style w:type="character" w:customStyle="1" w:styleId="42">
    <w:name w:val="标题 5 字符"/>
    <w:link w:val="8"/>
    <w:qFormat/>
    <w:uiPriority w:val="0"/>
    <w:rPr>
      <w:b/>
      <w:bCs/>
      <w:kern w:val="2"/>
      <w:sz w:val="28"/>
      <w:szCs w:val="28"/>
    </w:rPr>
  </w:style>
  <w:style w:type="character" w:customStyle="1" w:styleId="43">
    <w:name w:val="标题 6 字符"/>
    <w:link w:val="9"/>
    <w:qFormat/>
    <w:uiPriority w:val="0"/>
    <w:rPr>
      <w:rFonts w:ascii="Arial" w:hAnsi="Arial" w:eastAsia="黑体"/>
      <w:b/>
      <w:bCs/>
      <w:kern w:val="2"/>
      <w:sz w:val="24"/>
      <w:szCs w:val="24"/>
    </w:rPr>
  </w:style>
  <w:style w:type="character" w:customStyle="1" w:styleId="44">
    <w:name w:val="标题 7 字符"/>
    <w:link w:val="10"/>
    <w:qFormat/>
    <w:uiPriority w:val="0"/>
    <w:rPr>
      <w:b/>
      <w:bCs/>
      <w:kern w:val="2"/>
      <w:sz w:val="24"/>
      <w:szCs w:val="24"/>
    </w:rPr>
  </w:style>
  <w:style w:type="character" w:customStyle="1" w:styleId="45">
    <w:name w:val="标题 8 字符"/>
    <w:link w:val="11"/>
    <w:qFormat/>
    <w:uiPriority w:val="0"/>
    <w:rPr>
      <w:rFonts w:ascii="Arial" w:hAnsi="Arial" w:eastAsia="黑体"/>
      <w:kern w:val="2"/>
      <w:sz w:val="24"/>
      <w:szCs w:val="24"/>
    </w:rPr>
  </w:style>
  <w:style w:type="character" w:customStyle="1" w:styleId="46">
    <w:name w:val="标题 9 字符"/>
    <w:link w:val="12"/>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text_wrvkv"/>
    <w:basedOn w:val="31"/>
    <w:qFormat/>
    <w:uiPriority w:val="0"/>
  </w:style>
  <w:style w:type="character" w:customStyle="1" w:styleId="236">
    <w:name w:val="批注文字 字符"/>
    <w:basedOn w:val="31"/>
    <w:link w:val="14"/>
    <w:semiHidden/>
    <w:qFormat/>
    <w:uiPriority w:val="99"/>
    <w:rPr>
      <w:kern w:val="2"/>
      <w:sz w:val="21"/>
      <w:szCs w:val="21"/>
    </w:rPr>
  </w:style>
  <w:style w:type="character" w:customStyle="1" w:styleId="237">
    <w:name w:val="批注主题 字符"/>
    <w:basedOn w:val="236"/>
    <w:link w:val="28"/>
    <w:semiHidden/>
    <w:qFormat/>
    <w:uiPriority w:val="99"/>
    <w:rPr>
      <w:b/>
      <w:bCs/>
      <w:kern w:val="2"/>
      <w:sz w:val="21"/>
      <w:szCs w:val="21"/>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jpeg"/><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4C0175428048A797BD2BAD569D5100"/>
        <w:style w:val=""/>
        <w:category>
          <w:name w:val="常规"/>
          <w:gallery w:val="placeholder"/>
        </w:category>
        <w:types>
          <w:type w:val="bbPlcHdr"/>
        </w:types>
        <w:behaviors>
          <w:behavior w:val="content"/>
        </w:behaviors>
        <w:description w:val=""/>
        <w:guid w:val="{177E2937-2F14-4FAE-A5F5-E9B004487DF8}"/>
      </w:docPartPr>
      <w:docPartBody>
        <w:p w14:paraId="3FAD99E9">
          <w:pPr>
            <w:pStyle w:val="5"/>
          </w:pPr>
          <w:r>
            <w:rPr>
              <w:rStyle w:val="4"/>
              <w:rFonts w:hint="eastAsia"/>
            </w:rPr>
            <w:t>单击或点击此处输入文字。</w:t>
          </w:r>
        </w:p>
      </w:docPartBody>
    </w:docPart>
    <w:docPart>
      <w:docPartPr>
        <w:name w:val="61296C144D0942BA86173E89026CB5ED"/>
        <w:style w:val=""/>
        <w:category>
          <w:name w:val="常规"/>
          <w:gallery w:val="placeholder"/>
        </w:category>
        <w:types>
          <w:type w:val="bbPlcHdr"/>
        </w:types>
        <w:behaviors>
          <w:behavior w:val="content"/>
        </w:behaviors>
        <w:description w:val=""/>
        <w:guid w:val="{F49794FB-9A8A-4606-A563-6D2D6F35FBD7}"/>
      </w:docPartPr>
      <w:docPartBody>
        <w:p w14:paraId="2977F317">
          <w:pPr>
            <w:pStyle w:val="6"/>
          </w:pPr>
          <w:r>
            <w:rPr>
              <w:rStyle w:val="4"/>
              <w:rFonts w:hint="eastAsia"/>
            </w:rPr>
            <w:t>选择一项。</w:t>
          </w:r>
        </w:p>
      </w:docPartBody>
    </w:docPart>
    <w:docPart>
      <w:docPartPr>
        <w:name w:val="FF8692F80F964C27A25D33889CB704A5"/>
        <w:style w:val=""/>
        <w:category>
          <w:name w:val="常规"/>
          <w:gallery w:val="placeholder"/>
        </w:category>
        <w:types>
          <w:type w:val="bbPlcHdr"/>
        </w:types>
        <w:behaviors>
          <w:behavior w:val="content"/>
        </w:behaviors>
        <w:description w:val=""/>
        <w:guid w:val="{7206CEF5-F984-415A-8F91-35B901445BF4}"/>
      </w:docPartPr>
      <w:docPartBody>
        <w:p w14:paraId="6EEA263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C2F"/>
    <w:rsid w:val="0010515D"/>
    <w:rsid w:val="00186068"/>
    <w:rsid w:val="00233D81"/>
    <w:rsid w:val="002834B7"/>
    <w:rsid w:val="002D00BE"/>
    <w:rsid w:val="002E5FC9"/>
    <w:rsid w:val="00463C88"/>
    <w:rsid w:val="00587599"/>
    <w:rsid w:val="005902C6"/>
    <w:rsid w:val="005963B0"/>
    <w:rsid w:val="00731092"/>
    <w:rsid w:val="00754386"/>
    <w:rsid w:val="00883E8C"/>
    <w:rsid w:val="009B78A2"/>
    <w:rsid w:val="00AF47AE"/>
    <w:rsid w:val="00C669A8"/>
    <w:rsid w:val="00C712A6"/>
    <w:rsid w:val="00D24707"/>
    <w:rsid w:val="00D51C2F"/>
    <w:rsid w:val="00E17F7A"/>
    <w:rsid w:val="00E56E74"/>
    <w:rsid w:val="00F36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4C0175428048A797BD2BAD569D51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296C144D0942BA86173E89026CB5E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F8692F80F964C27A25D33889CB704A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16</Pages>
  <Words>9492</Words>
  <Characters>10220</Characters>
  <Lines>866</Lines>
  <Paragraphs>750</Paragraphs>
  <TotalTime>5</TotalTime>
  <ScaleCrop>false</ScaleCrop>
  <LinksUpToDate>false</LinksUpToDate>
  <CharactersWithSpaces>12276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2024-04-09T14:01:00Z</dcterms:created>
  <dc:creator>邓红平</dc:creator>
  <dc:description>&lt;config cover="true" show_menu="true" version="1.0.0" doctype="SDKXY"&gt;_x000d_
&lt;/config&gt;</dc:description>
  <cp:lastModifiedBy>玲</cp:lastModifiedBy>
  <cp:lastPrinted>2026-01-04T06:50:24Z</cp:lastPrinted>
  <dcterms:modified xsi:type="dcterms:W3CDTF">2026-01-04T06:54:09Z</dcterms:modified>
  <dc:title>地方标准</dc:title>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2052-12.1.0.24034</vt:lpwstr>
  </property>
  <property fmtid="{D5CDD505-2E9C-101B-9397-08002B2CF9AE}" pid="15" name="ICV">
    <vt:lpwstr>6881D2AB9D904AB397383B462562D1F6_13</vt:lpwstr>
  </property>
  <property fmtid="{D5CDD505-2E9C-101B-9397-08002B2CF9AE}" pid="16" name="KSOTemplateDocerSaveRecord">
    <vt:lpwstr>eyJoZGlkIjoiYjAwMGU1NDYwYjRkOThiODE5NWNhOGE4ODYzMTZmNmYiLCJ1c2VySWQiOiIyNzY5NzgwMTQifQ==</vt:lpwstr>
  </property>
</Properties>
</file>